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BF0C" w14:textId="77777777" w:rsidR="009C63B1" w:rsidRDefault="009C63B1">
      <w:pPr>
        <w:pBdr>
          <w:top w:val="nil"/>
          <w:left w:val="nil"/>
          <w:bottom w:val="nil"/>
          <w:right w:val="nil"/>
          <w:between w:val="nil"/>
        </w:pBdr>
        <w:rPr>
          <w:rFonts w:ascii="Times New Roman" w:eastAsia="Times New Roman" w:hAnsi="Times New Roman" w:cs="Times New Roman"/>
          <w:b/>
          <w:sz w:val="40"/>
          <w:szCs w:val="40"/>
        </w:rPr>
      </w:pPr>
    </w:p>
    <w:p w14:paraId="447327F2" w14:textId="596D6AFC" w:rsidR="009C63B1" w:rsidRPr="00975784" w:rsidRDefault="0085658D" w:rsidP="0085658D">
      <w:pPr>
        <w:pBdr>
          <w:top w:val="nil"/>
          <w:left w:val="nil"/>
          <w:bottom w:val="nil"/>
          <w:right w:val="nil"/>
          <w:between w:val="nil"/>
        </w:pBdr>
        <w:jc w:val="center"/>
        <w:rPr>
          <w:rFonts w:ascii="Liberation Serif" w:eastAsia="Times New Roman" w:hAnsi="Liberation Serif" w:cs="Times New Roman"/>
          <w:b/>
          <w:sz w:val="38"/>
          <w:szCs w:val="38"/>
        </w:rPr>
      </w:pPr>
      <w:r w:rsidRPr="0085658D">
        <w:rPr>
          <w:rFonts w:ascii="Liberation Serif" w:hAnsi="Liberation Serif"/>
          <w:b/>
          <w:sz w:val="38"/>
          <w:szCs w:val="38"/>
        </w:rPr>
        <w:t>Escolarização de jovens e adultos: uma análise das políticas educativas brasileiras (2007-2015)</w:t>
      </w:r>
    </w:p>
    <w:p w14:paraId="10D04EC0" w14:textId="77777777" w:rsidR="009C63B1" w:rsidRDefault="009C63B1">
      <w:pPr>
        <w:pBdr>
          <w:top w:val="nil"/>
          <w:left w:val="nil"/>
          <w:bottom w:val="nil"/>
          <w:right w:val="nil"/>
          <w:between w:val="nil"/>
        </w:pBdr>
        <w:jc w:val="center"/>
        <w:rPr>
          <w:rFonts w:ascii="Times New Roman" w:eastAsia="Times New Roman" w:hAnsi="Times New Roman" w:cs="Times New Roman"/>
        </w:rPr>
      </w:pPr>
    </w:p>
    <w:p w14:paraId="2269DB71" w14:textId="77777777" w:rsidR="009C63B1" w:rsidRDefault="009C63B1">
      <w:pPr>
        <w:pBdr>
          <w:top w:val="nil"/>
          <w:left w:val="nil"/>
          <w:bottom w:val="nil"/>
          <w:right w:val="nil"/>
          <w:between w:val="nil"/>
        </w:pBdr>
        <w:jc w:val="center"/>
        <w:rPr>
          <w:rFonts w:ascii="Times New Roman" w:eastAsia="Times New Roman" w:hAnsi="Times New Roman" w:cs="Times New Roman"/>
        </w:rPr>
      </w:pPr>
    </w:p>
    <w:p w14:paraId="521440A9" w14:textId="77777777" w:rsidR="009C63B1" w:rsidRDefault="009C63B1">
      <w:pPr>
        <w:pBdr>
          <w:top w:val="nil"/>
          <w:left w:val="nil"/>
          <w:bottom w:val="nil"/>
          <w:right w:val="nil"/>
          <w:between w:val="nil"/>
        </w:pBdr>
        <w:jc w:val="center"/>
        <w:rPr>
          <w:rFonts w:ascii="Times New Roman" w:eastAsia="Times New Roman" w:hAnsi="Times New Roman" w:cs="Times New Roman"/>
        </w:rPr>
      </w:pPr>
    </w:p>
    <w:p w14:paraId="6E017F97" w14:textId="77777777" w:rsidR="009C63B1" w:rsidRDefault="009C63B1">
      <w:pPr>
        <w:pBdr>
          <w:top w:val="nil"/>
          <w:left w:val="nil"/>
          <w:bottom w:val="nil"/>
          <w:right w:val="nil"/>
          <w:between w:val="nil"/>
        </w:pBdr>
        <w:jc w:val="center"/>
        <w:rPr>
          <w:rFonts w:ascii="Times New Roman" w:eastAsia="Times New Roman" w:hAnsi="Times New Roman" w:cs="Times New Roman"/>
        </w:rPr>
      </w:pPr>
    </w:p>
    <w:p w14:paraId="77BFF444" w14:textId="55FA2291" w:rsidR="009C63B1" w:rsidRPr="00975784" w:rsidRDefault="00C249A4">
      <w:pPr>
        <w:pBdr>
          <w:top w:val="nil"/>
          <w:left w:val="nil"/>
          <w:bottom w:val="nil"/>
          <w:right w:val="nil"/>
          <w:between w:val="nil"/>
        </w:pBdr>
        <w:jc w:val="right"/>
        <w:rPr>
          <w:rFonts w:ascii="Liberation Serif" w:eastAsia="Times New Roman" w:hAnsi="Liberation Serif" w:cs="Times New Roman"/>
          <w:sz w:val="28"/>
          <w:szCs w:val="28"/>
        </w:rPr>
      </w:pPr>
      <w:r>
        <w:rPr>
          <w:rFonts w:ascii="Liberation Serif" w:eastAsia="Times New Roman" w:hAnsi="Liberation Serif" w:cs="Times New Roman"/>
          <w:i/>
          <w:sz w:val="28"/>
          <w:szCs w:val="28"/>
        </w:rPr>
        <w:t>Rubens Luiz Rodrigues</w:t>
      </w:r>
      <w:r w:rsidR="00D37CE1" w:rsidRPr="00975784">
        <w:rPr>
          <w:rFonts w:ascii="Liberation Serif" w:eastAsia="Times New Roman" w:hAnsi="Liberation Serif" w:cs="Times New Roman"/>
          <w:i/>
          <w:sz w:val="28"/>
          <w:szCs w:val="28"/>
          <w:vertAlign w:val="superscript"/>
        </w:rPr>
        <w:footnoteReference w:id="1"/>
      </w:r>
    </w:p>
    <w:p w14:paraId="1A0ADF53" w14:textId="77777777" w:rsidR="009C63B1" w:rsidRPr="00975784" w:rsidRDefault="009C63B1">
      <w:pPr>
        <w:pBdr>
          <w:top w:val="nil"/>
          <w:left w:val="nil"/>
          <w:bottom w:val="nil"/>
          <w:right w:val="nil"/>
          <w:between w:val="nil"/>
        </w:pBdr>
        <w:jc w:val="center"/>
        <w:rPr>
          <w:rFonts w:ascii="Liberation Serif" w:eastAsia="Antic Didone" w:hAnsi="Liberation Serif" w:cs="Antic Didone"/>
          <w:sz w:val="24"/>
          <w:szCs w:val="24"/>
        </w:rPr>
      </w:pPr>
    </w:p>
    <w:p w14:paraId="2E262821" w14:textId="77777777" w:rsidR="009C63B1" w:rsidRPr="00975784" w:rsidRDefault="00D37CE1">
      <w:pPr>
        <w:pBdr>
          <w:top w:val="nil"/>
          <w:left w:val="nil"/>
          <w:bottom w:val="nil"/>
          <w:right w:val="nil"/>
          <w:between w:val="nil"/>
        </w:pBdr>
        <w:rPr>
          <w:rFonts w:ascii="Liberation Serif" w:eastAsia="Antic Didone" w:hAnsi="Liberation Serif" w:cs="Antic Didone"/>
          <w:color w:val="000000"/>
          <w:sz w:val="24"/>
          <w:szCs w:val="24"/>
        </w:rPr>
      </w:pPr>
      <w:r w:rsidRPr="00975784">
        <w:rPr>
          <w:rFonts w:ascii="Liberation Serif" w:eastAsia="Antic Didone" w:hAnsi="Liberation Serif" w:cs="Antic Didone"/>
          <w:color w:val="000000"/>
          <w:sz w:val="24"/>
          <w:szCs w:val="24"/>
        </w:rPr>
        <w:br/>
      </w:r>
    </w:p>
    <w:p w14:paraId="7B780D70" w14:textId="77777777" w:rsidR="006D4C69" w:rsidRPr="006D4C69" w:rsidRDefault="006D4C69" w:rsidP="006D4C69">
      <w:pPr>
        <w:jc w:val="both"/>
        <w:rPr>
          <w:rFonts w:ascii="Times New Roman" w:hAnsi="Times New Roman" w:cs="Times New Roman"/>
          <w:b/>
          <w:sz w:val="22"/>
          <w:szCs w:val="22"/>
        </w:rPr>
      </w:pPr>
      <w:r w:rsidRPr="006D4C69">
        <w:rPr>
          <w:rFonts w:ascii="Times New Roman" w:hAnsi="Times New Roman" w:cs="Times New Roman"/>
          <w:b/>
          <w:sz w:val="22"/>
          <w:szCs w:val="22"/>
        </w:rPr>
        <w:t>Resumo</w:t>
      </w:r>
    </w:p>
    <w:p w14:paraId="47A87A06" w14:textId="55F15A91" w:rsidR="006D4C69" w:rsidRPr="006D4C69" w:rsidRDefault="006D4C69" w:rsidP="006D4C69">
      <w:pPr>
        <w:jc w:val="both"/>
        <w:rPr>
          <w:rFonts w:ascii="Times New Roman" w:hAnsi="Times New Roman" w:cs="Times New Roman"/>
          <w:sz w:val="22"/>
          <w:szCs w:val="22"/>
        </w:rPr>
      </w:pPr>
      <w:r w:rsidRPr="006D4C69">
        <w:rPr>
          <w:rFonts w:ascii="Times New Roman" w:hAnsi="Times New Roman" w:cs="Times New Roman"/>
          <w:sz w:val="22"/>
          <w:szCs w:val="22"/>
        </w:rPr>
        <w:t xml:space="preserve">O artigo aborda as orientações políticas brasileiras para a escolarização de jovens e adultos no contexto da crise capitalista que se iniciou em 2007. Aborda os desdobramentos das políticas educativas nas propostas de escolarização de jovens e adultos, identificando suas relações com os interesses da burguesia em termos de formação para o trabalho. Na análise das perspectivas educacionais brasileiras intensificadas no período de crise capitalista, afirma que a concepção dominante presente na política educacional acentua a precarização nos processos de escolarização de jovens e adultos. Baseado em uma </w:t>
      </w:r>
      <w:r w:rsidR="00733B0E" w:rsidRPr="00960636">
        <w:rPr>
          <w:rFonts w:ascii="Times New Roman" w:hAnsi="Times New Roman" w:cs="Times New Roman"/>
          <w:sz w:val="22"/>
          <w:szCs w:val="22"/>
        </w:rPr>
        <w:t>revisão bibliográfica</w:t>
      </w:r>
      <w:r w:rsidRPr="006D4C69">
        <w:rPr>
          <w:rFonts w:ascii="Times New Roman" w:hAnsi="Times New Roman" w:cs="Times New Roman"/>
          <w:sz w:val="22"/>
          <w:szCs w:val="22"/>
        </w:rPr>
        <w:t xml:space="preserve">, o artigo destaca que as orientações da política educativa intensificaram a precarização dos processos de escolarização de jovens e adultos da classe trabalhadora na sociedade brasileira no contexto da crise capitalista a partir de 2007, dificultando o acesso e a apropriação do conhecimento como um legado da humanidade. </w:t>
      </w:r>
    </w:p>
    <w:p w14:paraId="7C07E2A4" w14:textId="04A5FFE2" w:rsidR="006D4C69" w:rsidRPr="00E34943" w:rsidRDefault="006D4C69" w:rsidP="006D4C69">
      <w:pPr>
        <w:pBdr>
          <w:top w:val="nil"/>
          <w:left w:val="nil"/>
          <w:bottom w:val="nil"/>
          <w:right w:val="nil"/>
          <w:between w:val="nil"/>
        </w:pBdr>
        <w:jc w:val="both"/>
        <w:rPr>
          <w:rFonts w:ascii="Ink Free" w:hAnsi="Ink Free"/>
          <w:sz w:val="24"/>
          <w:szCs w:val="24"/>
          <w:lang w:val="en-US"/>
        </w:rPr>
      </w:pPr>
      <w:r w:rsidRPr="006D4C69">
        <w:rPr>
          <w:rFonts w:ascii="Times New Roman" w:hAnsi="Times New Roman" w:cs="Times New Roman"/>
          <w:b/>
          <w:sz w:val="22"/>
          <w:szCs w:val="22"/>
        </w:rPr>
        <w:t xml:space="preserve">Palavras-chave: </w:t>
      </w:r>
      <w:r w:rsidR="00254356" w:rsidRPr="00960636">
        <w:rPr>
          <w:rFonts w:ascii="Times New Roman" w:hAnsi="Times New Roman" w:cs="Times New Roman"/>
          <w:sz w:val="22"/>
          <w:szCs w:val="22"/>
        </w:rPr>
        <w:t>Educação de Jovens e Adultos</w:t>
      </w:r>
      <w:r w:rsidRPr="006D4C69">
        <w:rPr>
          <w:rFonts w:ascii="Times New Roman" w:hAnsi="Times New Roman" w:cs="Times New Roman"/>
          <w:sz w:val="22"/>
          <w:szCs w:val="22"/>
        </w:rPr>
        <w:t xml:space="preserve">. </w:t>
      </w:r>
      <w:r w:rsidRPr="00E34943">
        <w:rPr>
          <w:rFonts w:ascii="Times New Roman" w:hAnsi="Times New Roman" w:cs="Times New Roman"/>
          <w:sz w:val="22"/>
          <w:szCs w:val="22"/>
          <w:lang w:val="en-US"/>
        </w:rPr>
        <w:t>Formação. Trabalhador.</w:t>
      </w:r>
      <w:r w:rsidRPr="00E34943">
        <w:rPr>
          <w:rFonts w:ascii="Ink Free" w:hAnsi="Ink Free"/>
          <w:sz w:val="24"/>
          <w:szCs w:val="24"/>
          <w:lang w:val="en-US"/>
        </w:rPr>
        <w:t xml:space="preserve"> </w:t>
      </w:r>
    </w:p>
    <w:p w14:paraId="5FB68A13"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sz w:val="24"/>
          <w:szCs w:val="24"/>
          <w:lang w:val="en-US"/>
        </w:rPr>
      </w:pPr>
    </w:p>
    <w:p w14:paraId="78DBDBA2"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2585C2CD"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178EEA26"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60B965B5"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437FA98B"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13981CB4"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4D91EBBF"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720DEDBA"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1B65F5A1"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318CDB1C"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03BE8ECD"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407908D8"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7E550D0C"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1FE2899C"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50C5F013"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5497F0E7"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6401AC40"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2F3A0764"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603A4FA2" w14:textId="7C36C3A4" w:rsidR="009C63B1" w:rsidRPr="00E34943" w:rsidRDefault="009C63B1" w:rsidP="00DB4A04">
      <w:pPr>
        <w:pBdr>
          <w:top w:val="nil"/>
          <w:left w:val="nil"/>
          <w:bottom w:val="nil"/>
          <w:right w:val="nil"/>
          <w:between w:val="nil"/>
        </w:pBdr>
        <w:ind w:left="720" w:hanging="720"/>
        <w:jc w:val="both"/>
        <w:rPr>
          <w:rFonts w:ascii="Times New Roman" w:eastAsia="Times New Roman" w:hAnsi="Times New Roman" w:cs="Times New Roman"/>
          <w:b/>
          <w:i/>
          <w:sz w:val="24"/>
          <w:szCs w:val="24"/>
          <w:lang w:val="en-US"/>
        </w:rPr>
      </w:pPr>
    </w:p>
    <w:p w14:paraId="380DDE8E" w14:textId="77777777" w:rsidR="009C63B1" w:rsidRPr="00E34943" w:rsidRDefault="009C63B1">
      <w:pPr>
        <w:pBdr>
          <w:top w:val="nil"/>
          <w:left w:val="nil"/>
          <w:bottom w:val="nil"/>
          <w:right w:val="nil"/>
          <w:between w:val="nil"/>
        </w:pBdr>
        <w:jc w:val="both"/>
        <w:rPr>
          <w:rFonts w:ascii="Times New Roman" w:eastAsia="Times New Roman" w:hAnsi="Times New Roman" w:cs="Times New Roman"/>
          <w:b/>
          <w:i/>
          <w:sz w:val="24"/>
          <w:szCs w:val="24"/>
          <w:lang w:val="en-US"/>
        </w:rPr>
      </w:pPr>
    </w:p>
    <w:p w14:paraId="071FCC39" w14:textId="77777777" w:rsidR="009C63B1" w:rsidRPr="00E34943" w:rsidRDefault="009C63B1">
      <w:pPr>
        <w:pBdr>
          <w:top w:val="nil"/>
          <w:left w:val="nil"/>
          <w:bottom w:val="nil"/>
          <w:right w:val="nil"/>
          <w:between w:val="nil"/>
        </w:pBdr>
        <w:jc w:val="center"/>
        <w:rPr>
          <w:rFonts w:ascii="Liberation Serif" w:eastAsia="Liberation Serif" w:hAnsi="Liberation Serif" w:cs="Liberation Serif"/>
          <w:b/>
          <w:color w:val="000000"/>
          <w:sz w:val="40"/>
          <w:szCs w:val="40"/>
          <w:lang w:val="en-US"/>
        </w:rPr>
      </w:pPr>
    </w:p>
    <w:p w14:paraId="69EA69FE" w14:textId="272C52E1" w:rsidR="009C63B1" w:rsidRPr="00E34943" w:rsidRDefault="00500FC2" w:rsidP="00975784">
      <w:pPr>
        <w:jc w:val="center"/>
        <w:rPr>
          <w:rFonts w:ascii="Liberation Serif" w:eastAsia="Times New Roman" w:hAnsi="Liberation Serif" w:cs="Times New Roman"/>
          <w:b/>
          <w:color w:val="000000"/>
          <w:sz w:val="34"/>
          <w:szCs w:val="34"/>
          <w:lang w:val="en-US"/>
        </w:rPr>
      </w:pPr>
      <w:r w:rsidRPr="00E34943">
        <w:rPr>
          <w:rFonts w:ascii="Liberation Serif" w:hAnsi="Liberation Serif"/>
          <w:b/>
          <w:sz w:val="38"/>
          <w:szCs w:val="38"/>
          <w:lang w:val="en-US"/>
        </w:rPr>
        <w:lastRenderedPageBreak/>
        <w:t>Schooling of Youth and Adults: an analysis of Brazilian educational policies (2007-2015)</w:t>
      </w:r>
    </w:p>
    <w:p w14:paraId="60F11375" w14:textId="77777777" w:rsidR="009C63B1" w:rsidRPr="00E34943" w:rsidRDefault="009C63B1" w:rsidP="00975784">
      <w:pPr>
        <w:pBdr>
          <w:top w:val="nil"/>
          <w:left w:val="nil"/>
          <w:bottom w:val="nil"/>
          <w:right w:val="nil"/>
          <w:between w:val="nil"/>
        </w:pBdr>
        <w:jc w:val="center"/>
        <w:rPr>
          <w:rFonts w:ascii="Liberation Serif" w:eastAsia="Times New Roman" w:hAnsi="Liberation Serif" w:cs="Times New Roman"/>
          <w:lang w:val="en-US"/>
        </w:rPr>
      </w:pPr>
    </w:p>
    <w:p w14:paraId="1B8455B5" w14:textId="77777777" w:rsidR="009C63B1" w:rsidRPr="00E34943" w:rsidRDefault="009C63B1" w:rsidP="00975784">
      <w:pPr>
        <w:jc w:val="center"/>
        <w:rPr>
          <w:rFonts w:ascii="Liberation Serif" w:eastAsia="Times New Roman" w:hAnsi="Liberation Serif" w:cs="Times New Roman"/>
          <w:lang w:val="en-US"/>
        </w:rPr>
      </w:pPr>
    </w:p>
    <w:p w14:paraId="3ED8D14D" w14:textId="77777777" w:rsidR="009C63B1" w:rsidRPr="00E34943" w:rsidRDefault="009C63B1" w:rsidP="00975784">
      <w:pPr>
        <w:jc w:val="center"/>
        <w:rPr>
          <w:rFonts w:ascii="Liberation Serif" w:eastAsia="Times New Roman" w:hAnsi="Liberation Serif" w:cs="Times New Roman"/>
          <w:lang w:val="en-US"/>
        </w:rPr>
      </w:pPr>
    </w:p>
    <w:p w14:paraId="1EE25AEE" w14:textId="77777777" w:rsidR="009C63B1" w:rsidRPr="00E34943" w:rsidRDefault="009C63B1" w:rsidP="00975784">
      <w:pPr>
        <w:jc w:val="center"/>
        <w:rPr>
          <w:rFonts w:ascii="Liberation Serif" w:eastAsia="Times New Roman" w:hAnsi="Liberation Serif" w:cs="Times New Roman"/>
          <w:lang w:val="en-US"/>
        </w:rPr>
      </w:pPr>
    </w:p>
    <w:p w14:paraId="2D81676D" w14:textId="0D249679" w:rsidR="009C63B1" w:rsidRPr="00E34943" w:rsidRDefault="003E1E41" w:rsidP="00975784">
      <w:pPr>
        <w:pBdr>
          <w:top w:val="nil"/>
          <w:left w:val="nil"/>
          <w:bottom w:val="nil"/>
          <w:right w:val="nil"/>
          <w:between w:val="nil"/>
        </w:pBdr>
        <w:jc w:val="right"/>
        <w:rPr>
          <w:rFonts w:ascii="Liberation Serif" w:eastAsia="Times New Roman" w:hAnsi="Liberation Serif" w:cs="Times New Roman"/>
          <w:i/>
          <w:sz w:val="28"/>
          <w:szCs w:val="28"/>
          <w:lang w:val="en-US"/>
        </w:rPr>
      </w:pPr>
      <w:r w:rsidRPr="00E34943">
        <w:rPr>
          <w:rFonts w:ascii="Liberation Serif" w:eastAsia="Times New Roman" w:hAnsi="Liberation Serif" w:cs="Times New Roman"/>
          <w:i/>
          <w:sz w:val="28"/>
          <w:szCs w:val="28"/>
          <w:lang w:val="en-US"/>
        </w:rPr>
        <w:t>Rubens Luiz Rodrigues</w:t>
      </w:r>
      <w:r w:rsidR="00D37CE1" w:rsidRPr="00E34943">
        <w:rPr>
          <w:rFonts w:ascii="Liberation Serif" w:eastAsia="Times New Roman" w:hAnsi="Liberation Serif" w:cs="Times New Roman"/>
          <w:i/>
          <w:sz w:val="28"/>
          <w:szCs w:val="28"/>
          <w:lang w:val="en-US"/>
        </w:rPr>
        <w:t xml:space="preserve"> </w:t>
      </w:r>
    </w:p>
    <w:p w14:paraId="58699B09" w14:textId="77777777" w:rsidR="009C63B1" w:rsidRPr="00E34943" w:rsidRDefault="009C63B1" w:rsidP="00975784">
      <w:pPr>
        <w:jc w:val="center"/>
        <w:rPr>
          <w:rFonts w:ascii="Liberation Serif" w:eastAsia="Antic Didone" w:hAnsi="Liberation Serif" w:cs="Antic Didone"/>
          <w:sz w:val="24"/>
          <w:szCs w:val="24"/>
          <w:lang w:val="en-US"/>
        </w:rPr>
      </w:pPr>
    </w:p>
    <w:p w14:paraId="11DFBD85" w14:textId="5E8DCD43" w:rsidR="00FC4A23" w:rsidRPr="00E34943" w:rsidRDefault="00D37CE1" w:rsidP="00FC4A23">
      <w:pPr>
        <w:jc w:val="both"/>
        <w:rPr>
          <w:rFonts w:ascii="Times New Roman" w:hAnsi="Times New Roman" w:cs="Times New Roman"/>
          <w:b/>
          <w:sz w:val="22"/>
          <w:szCs w:val="22"/>
          <w:lang w:val="en-US"/>
        </w:rPr>
      </w:pPr>
      <w:r w:rsidRPr="00E34943">
        <w:rPr>
          <w:rFonts w:ascii="Liberation Serif" w:eastAsia="Antic Didone" w:hAnsi="Liberation Serif" w:cs="Antic Didone"/>
          <w:sz w:val="24"/>
          <w:szCs w:val="24"/>
          <w:lang w:val="en-US"/>
        </w:rPr>
        <w:br/>
      </w:r>
      <w:r w:rsidRPr="00E34943">
        <w:rPr>
          <w:rFonts w:ascii="Liberation Serif" w:eastAsia="Antic Didone" w:hAnsi="Liberation Serif" w:cs="Antic Didone"/>
          <w:sz w:val="24"/>
          <w:szCs w:val="24"/>
          <w:lang w:val="en-US"/>
        </w:rPr>
        <w:br/>
      </w:r>
      <w:r w:rsidR="00FC4A23" w:rsidRPr="00E34943">
        <w:rPr>
          <w:rFonts w:ascii="Times New Roman" w:hAnsi="Times New Roman" w:cs="Times New Roman"/>
          <w:b/>
          <w:sz w:val="22"/>
          <w:szCs w:val="22"/>
          <w:lang w:val="en-US"/>
        </w:rPr>
        <w:t>Abstract</w:t>
      </w:r>
    </w:p>
    <w:p w14:paraId="4F76494B" w14:textId="1ED78029" w:rsidR="00FC4A23" w:rsidRPr="00E34943" w:rsidRDefault="00FC4A23" w:rsidP="00FC4A23">
      <w:pPr>
        <w:jc w:val="both"/>
        <w:rPr>
          <w:rFonts w:ascii="Times New Roman" w:hAnsi="Times New Roman" w:cs="Times New Roman"/>
          <w:sz w:val="22"/>
          <w:szCs w:val="22"/>
          <w:lang w:val="en-US"/>
        </w:rPr>
      </w:pPr>
      <w:r w:rsidRPr="00E34943">
        <w:rPr>
          <w:rFonts w:ascii="Times New Roman" w:hAnsi="Times New Roman" w:cs="Times New Roman"/>
          <w:sz w:val="22"/>
          <w:szCs w:val="22"/>
          <w:lang w:val="en-US"/>
        </w:rPr>
        <w:t xml:space="preserve">The article addresses the Brazilian political guidelines for the schooling of young people and adults in the context of the capitalist crisis that began in 2007. It addresses the unfolding of educational policies in the proposals for schooling for young people and adults, identifying their relationship with the interests of the bourgeoisie in terms of training for work. In the analysis of Brazilian educational perspectives intensified in the period of capitalist crisis, he states that the dominant conception present in Brazilian educational policy accentuates the precariousness in the schooling processes of young people and adults. </w:t>
      </w:r>
      <w:r w:rsidR="003146C6" w:rsidRPr="00E34943">
        <w:rPr>
          <w:rFonts w:ascii="Times New Roman" w:hAnsi="Times New Roman" w:cs="Times New Roman"/>
          <w:sz w:val="22"/>
          <w:szCs w:val="22"/>
          <w:lang w:val="en-US"/>
        </w:rPr>
        <w:t>Based on a bibliographical review</w:t>
      </w:r>
      <w:r w:rsidRPr="00E34943">
        <w:rPr>
          <w:rFonts w:ascii="Times New Roman" w:hAnsi="Times New Roman" w:cs="Times New Roman"/>
          <w:sz w:val="22"/>
          <w:szCs w:val="22"/>
          <w:lang w:val="en-US"/>
        </w:rPr>
        <w:t>, the article highlights that the educational policy guidelines have intensified the precariousness of the schooling processes of working class young people and adults in Brazilian society in the context of the capitalist crisis since 2007, making access and appropriation of knowledge difficult. as a legacy of humanity.</w:t>
      </w:r>
    </w:p>
    <w:p w14:paraId="6FDC45F1" w14:textId="4C19430E" w:rsidR="009C63B1" w:rsidRDefault="00FC4A23" w:rsidP="000A6321">
      <w:pPr>
        <w:jc w:val="both"/>
        <w:rPr>
          <w:rFonts w:ascii="Ink Free" w:hAnsi="Ink Free"/>
          <w:sz w:val="24"/>
          <w:szCs w:val="24"/>
        </w:rPr>
      </w:pPr>
      <w:r w:rsidRPr="00E34943">
        <w:rPr>
          <w:rFonts w:ascii="Times New Roman" w:hAnsi="Times New Roman" w:cs="Times New Roman"/>
          <w:b/>
          <w:sz w:val="22"/>
          <w:szCs w:val="22"/>
          <w:lang w:val="en-US"/>
        </w:rPr>
        <w:t>Keywords</w:t>
      </w:r>
      <w:r w:rsidRPr="00E34943">
        <w:rPr>
          <w:rFonts w:ascii="Times New Roman" w:hAnsi="Times New Roman" w:cs="Times New Roman"/>
          <w:sz w:val="22"/>
          <w:szCs w:val="22"/>
          <w:lang w:val="en-US"/>
        </w:rPr>
        <w:t xml:space="preserve">: </w:t>
      </w:r>
      <w:r w:rsidR="00441BF9" w:rsidRPr="00E34943">
        <w:rPr>
          <w:rFonts w:ascii="Times New Roman" w:hAnsi="Times New Roman" w:cs="Times New Roman"/>
          <w:sz w:val="22"/>
          <w:szCs w:val="22"/>
          <w:lang w:val="en-US"/>
        </w:rPr>
        <w:t>Youth and Adult Education</w:t>
      </w:r>
      <w:r w:rsidRPr="00E34943">
        <w:rPr>
          <w:rFonts w:ascii="Times New Roman" w:hAnsi="Times New Roman" w:cs="Times New Roman"/>
          <w:sz w:val="22"/>
          <w:szCs w:val="22"/>
          <w:lang w:val="en-US"/>
        </w:rPr>
        <w:t xml:space="preserve">. </w:t>
      </w:r>
      <w:r w:rsidRPr="00FC4A23">
        <w:rPr>
          <w:rFonts w:ascii="Times New Roman" w:hAnsi="Times New Roman" w:cs="Times New Roman"/>
          <w:sz w:val="22"/>
          <w:szCs w:val="22"/>
        </w:rPr>
        <w:t>Formation. Worker.</w:t>
      </w:r>
    </w:p>
    <w:p w14:paraId="0D10E60E" w14:textId="5C564D99" w:rsidR="00FC4A23" w:rsidRDefault="00FC4A23" w:rsidP="000A6321">
      <w:pPr>
        <w:jc w:val="both"/>
        <w:rPr>
          <w:rFonts w:ascii="Ink Free" w:hAnsi="Ink Free"/>
          <w:sz w:val="24"/>
          <w:szCs w:val="24"/>
        </w:rPr>
      </w:pPr>
    </w:p>
    <w:p w14:paraId="75EBCE5B" w14:textId="77777777" w:rsidR="00FC4A23" w:rsidRPr="00FC4A23" w:rsidRDefault="00FC4A23" w:rsidP="000A6321">
      <w:pPr>
        <w:jc w:val="both"/>
        <w:rPr>
          <w:rFonts w:ascii="Ink Free" w:hAnsi="Ink Free"/>
          <w:sz w:val="24"/>
          <w:szCs w:val="24"/>
        </w:rPr>
      </w:pPr>
    </w:p>
    <w:p w14:paraId="70741E6B" w14:textId="77777777" w:rsidR="009C63B1" w:rsidRPr="001A5C17" w:rsidRDefault="009C63B1">
      <w:pPr>
        <w:jc w:val="both"/>
        <w:rPr>
          <w:rFonts w:ascii="Liberation Serif" w:eastAsia="Liberation Serif" w:hAnsi="Liberation Serif" w:cs="Liberation Serif"/>
          <w:sz w:val="18"/>
          <w:szCs w:val="18"/>
        </w:rPr>
      </w:pPr>
    </w:p>
    <w:p w14:paraId="31BFD00E" w14:textId="77777777" w:rsidR="009C63B1" w:rsidRDefault="009C63B1">
      <w:pPr>
        <w:rPr>
          <w:rFonts w:ascii="Liberation Serif" w:eastAsia="Liberation Serif" w:hAnsi="Liberation Serif" w:cs="Liberation Serif"/>
          <w:sz w:val="18"/>
          <w:szCs w:val="18"/>
          <w:highlight w:val="white"/>
        </w:rPr>
      </w:pPr>
    </w:p>
    <w:p w14:paraId="269D7331" w14:textId="77777777" w:rsidR="009C63B1" w:rsidRDefault="009C63B1">
      <w:pPr>
        <w:rPr>
          <w:rFonts w:ascii="Liberation Serif" w:eastAsia="Liberation Serif" w:hAnsi="Liberation Serif" w:cs="Liberation Serif"/>
          <w:sz w:val="18"/>
          <w:szCs w:val="18"/>
          <w:highlight w:val="white"/>
        </w:rPr>
      </w:pPr>
    </w:p>
    <w:p w14:paraId="0158EAEF" w14:textId="77777777" w:rsidR="009C63B1" w:rsidRDefault="009C63B1">
      <w:pPr>
        <w:rPr>
          <w:rFonts w:ascii="Liberation Serif" w:eastAsia="Liberation Serif" w:hAnsi="Liberation Serif" w:cs="Liberation Serif"/>
          <w:sz w:val="18"/>
          <w:szCs w:val="18"/>
          <w:highlight w:val="white"/>
        </w:rPr>
      </w:pPr>
    </w:p>
    <w:p w14:paraId="4B3974EB" w14:textId="77777777" w:rsidR="009C63B1" w:rsidRDefault="009C63B1">
      <w:pPr>
        <w:pBdr>
          <w:top w:val="nil"/>
          <w:left w:val="nil"/>
          <w:bottom w:val="nil"/>
          <w:right w:val="nil"/>
          <w:between w:val="nil"/>
        </w:pBdr>
        <w:ind w:left="1440"/>
        <w:rPr>
          <w:rFonts w:ascii="Times New Roman" w:eastAsia="Times New Roman" w:hAnsi="Times New Roman" w:cs="Times New Roman"/>
        </w:rPr>
      </w:pPr>
    </w:p>
    <w:p w14:paraId="764727A5" w14:textId="77777777" w:rsidR="009C63B1" w:rsidRDefault="009C63B1">
      <w:pPr>
        <w:pBdr>
          <w:top w:val="nil"/>
          <w:left w:val="nil"/>
          <w:bottom w:val="nil"/>
          <w:right w:val="nil"/>
          <w:between w:val="nil"/>
        </w:pBdr>
        <w:jc w:val="both"/>
        <w:rPr>
          <w:rFonts w:ascii="Times New Roman" w:eastAsia="Times New Roman" w:hAnsi="Times New Roman" w:cs="Times New Roman"/>
          <w:color w:val="000000"/>
          <w:sz w:val="24"/>
          <w:szCs w:val="24"/>
        </w:rPr>
      </w:pPr>
    </w:p>
    <w:p w14:paraId="22C8ED2A"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113F206E" w14:textId="77777777" w:rsidR="009C63B1" w:rsidRDefault="009C63B1">
      <w:pPr>
        <w:spacing w:after="160" w:line="276" w:lineRule="auto"/>
        <w:ind w:left="860"/>
        <w:rPr>
          <w:rFonts w:ascii="Times New Roman" w:eastAsia="Times New Roman" w:hAnsi="Times New Roman" w:cs="Times New Roman"/>
          <w:color w:val="000000"/>
          <w:sz w:val="24"/>
          <w:szCs w:val="24"/>
          <w:highlight w:val="white"/>
        </w:rPr>
      </w:pPr>
    </w:p>
    <w:p w14:paraId="3DCBC9F8"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4E0FF6CD"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557BE9CB"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0DC4E9FD"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56514F33"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08582B87"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398A7EE9"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11337236"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7DB1329E"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11EFCFA9" w14:textId="77777777" w:rsidR="009C63B1" w:rsidRDefault="009C63B1">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58B64646" w14:textId="6A745249" w:rsidR="009C63B1" w:rsidRPr="001A5C17" w:rsidRDefault="00BC5879" w:rsidP="00BC5879">
      <w:pPr>
        <w:pBdr>
          <w:top w:val="nil"/>
          <w:left w:val="nil"/>
          <w:bottom w:val="nil"/>
          <w:right w:val="nil"/>
          <w:between w:val="nil"/>
        </w:pBdr>
        <w:jc w:val="center"/>
        <w:rPr>
          <w:rFonts w:ascii="Liberation Serif" w:eastAsia="Times New Roman" w:hAnsi="Liberation Serif" w:cs="Times New Roman"/>
          <w:b/>
          <w:color w:val="000000"/>
          <w:sz w:val="34"/>
          <w:szCs w:val="34"/>
        </w:rPr>
      </w:pPr>
      <w:r w:rsidRPr="00BC5879">
        <w:rPr>
          <w:rFonts w:ascii="Liberation Serif" w:eastAsia="Times New Roman" w:hAnsi="Liberation Serif" w:cs="Times New Roman"/>
          <w:b/>
          <w:color w:val="000000"/>
          <w:sz w:val="38"/>
          <w:szCs w:val="38"/>
        </w:rPr>
        <w:lastRenderedPageBreak/>
        <w:t>Escolarización de jóvenes y adultos: un análisis de las políticas educativas brasileñas (2007-2015)</w:t>
      </w:r>
    </w:p>
    <w:p w14:paraId="63B2D8D3" w14:textId="77777777" w:rsidR="009C63B1" w:rsidRPr="001A5C17" w:rsidRDefault="009C63B1">
      <w:pPr>
        <w:pBdr>
          <w:top w:val="nil"/>
          <w:left w:val="nil"/>
          <w:bottom w:val="nil"/>
          <w:right w:val="nil"/>
          <w:between w:val="nil"/>
        </w:pBdr>
        <w:jc w:val="center"/>
        <w:rPr>
          <w:rFonts w:ascii="Liberation Serif" w:eastAsia="Times New Roman" w:hAnsi="Liberation Serif" w:cs="Times New Roman"/>
        </w:rPr>
      </w:pPr>
    </w:p>
    <w:p w14:paraId="5F34F7FC" w14:textId="77777777" w:rsidR="009C63B1" w:rsidRPr="001A5C17" w:rsidRDefault="009C63B1">
      <w:pPr>
        <w:jc w:val="center"/>
        <w:rPr>
          <w:rFonts w:ascii="Liberation Serif" w:eastAsia="Times New Roman" w:hAnsi="Liberation Serif" w:cs="Times New Roman"/>
        </w:rPr>
      </w:pPr>
    </w:p>
    <w:p w14:paraId="0E1A5684" w14:textId="77777777" w:rsidR="009C63B1" w:rsidRPr="001A5C17" w:rsidRDefault="009C63B1">
      <w:pPr>
        <w:jc w:val="center"/>
        <w:rPr>
          <w:rFonts w:ascii="Liberation Serif" w:eastAsia="Times New Roman" w:hAnsi="Liberation Serif" w:cs="Times New Roman"/>
        </w:rPr>
      </w:pPr>
    </w:p>
    <w:p w14:paraId="2375C2DF" w14:textId="77777777" w:rsidR="009C63B1" w:rsidRPr="001A5C17" w:rsidRDefault="009C63B1">
      <w:pPr>
        <w:jc w:val="center"/>
        <w:rPr>
          <w:rFonts w:ascii="Liberation Serif" w:eastAsia="Times New Roman" w:hAnsi="Liberation Serif" w:cs="Times New Roman"/>
        </w:rPr>
      </w:pPr>
    </w:p>
    <w:p w14:paraId="5CE37877" w14:textId="222F898F" w:rsidR="009C63B1" w:rsidRPr="001A5C17" w:rsidRDefault="003E1E41">
      <w:pPr>
        <w:pBdr>
          <w:top w:val="nil"/>
          <w:left w:val="nil"/>
          <w:bottom w:val="nil"/>
          <w:right w:val="nil"/>
          <w:between w:val="nil"/>
        </w:pBdr>
        <w:jc w:val="right"/>
        <w:rPr>
          <w:rFonts w:ascii="Liberation Serif" w:eastAsia="Times New Roman" w:hAnsi="Liberation Serif" w:cs="Times New Roman"/>
          <w:i/>
          <w:sz w:val="28"/>
          <w:szCs w:val="28"/>
        </w:rPr>
      </w:pPr>
      <w:r>
        <w:rPr>
          <w:rFonts w:ascii="Liberation Serif" w:eastAsia="Times New Roman" w:hAnsi="Liberation Serif" w:cs="Times New Roman"/>
          <w:i/>
          <w:sz w:val="28"/>
          <w:szCs w:val="28"/>
        </w:rPr>
        <w:t>Rubens Luiz Rodrigues</w:t>
      </w:r>
    </w:p>
    <w:p w14:paraId="1D914460" w14:textId="77777777" w:rsidR="009C63B1" w:rsidRPr="001A5C17" w:rsidRDefault="009C63B1">
      <w:pPr>
        <w:jc w:val="center"/>
        <w:rPr>
          <w:rFonts w:ascii="Liberation Serif" w:eastAsia="Antic Didone" w:hAnsi="Liberation Serif" w:cs="Antic Didone"/>
          <w:sz w:val="28"/>
          <w:szCs w:val="28"/>
        </w:rPr>
      </w:pPr>
    </w:p>
    <w:p w14:paraId="5658C0A0" w14:textId="54B98DB1" w:rsidR="00BC5879" w:rsidRPr="000C6850" w:rsidRDefault="00BC5879" w:rsidP="000C6850">
      <w:pPr>
        <w:jc w:val="both"/>
        <w:rPr>
          <w:rFonts w:ascii="Times New Roman" w:hAnsi="Times New Roman" w:cs="Times New Roman"/>
          <w:b/>
          <w:sz w:val="22"/>
          <w:szCs w:val="22"/>
        </w:rPr>
      </w:pPr>
      <w:r w:rsidRPr="000C6850">
        <w:rPr>
          <w:rFonts w:ascii="Times New Roman" w:hAnsi="Times New Roman" w:cs="Times New Roman"/>
          <w:b/>
          <w:sz w:val="22"/>
          <w:szCs w:val="22"/>
        </w:rPr>
        <w:t>Resumen</w:t>
      </w:r>
    </w:p>
    <w:p w14:paraId="25E29517" w14:textId="14D01E72" w:rsidR="00BC5879" w:rsidRPr="000C6850" w:rsidRDefault="00BC5879" w:rsidP="000C6850">
      <w:pPr>
        <w:jc w:val="both"/>
        <w:rPr>
          <w:rFonts w:ascii="Times New Roman" w:hAnsi="Times New Roman" w:cs="Times New Roman"/>
          <w:sz w:val="22"/>
          <w:szCs w:val="22"/>
        </w:rPr>
      </w:pPr>
      <w:r w:rsidRPr="000C6850">
        <w:rPr>
          <w:rFonts w:ascii="Times New Roman" w:hAnsi="Times New Roman" w:cs="Times New Roman"/>
          <w:sz w:val="22"/>
          <w:szCs w:val="22"/>
        </w:rPr>
        <w:t xml:space="preserve">El artículo aborda los lineamientos políticos brasileños para la escolarización de jóvenes y adultos en el contexto de la crisis capitalista iniciada en 2007. Aborda el despliegue de las políticas educativas en las propuestas de escolarización, identificando su relación con la intereses de la burguesía en cuanto a la formación para el trabajo. En el análisis de las perspectivas educativas brasileñas intensificadas en el período de crisis capitalista, afirma que la concepción dominante presente en la política educativa brasileña acentúa la precariedad en los procesos de escolarización de jóvenes y adultos. </w:t>
      </w:r>
      <w:r w:rsidR="000D5C0C" w:rsidRPr="000D5C0C">
        <w:rPr>
          <w:rFonts w:ascii="Times New Roman" w:hAnsi="Times New Roman" w:cs="Times New Roman"/>
          <w:sz w:val="22"/>
          <w:szCs w:val="22"/>
        </w:rPr>
        <w:t>Basado en una revisión bibliográfica</w:t>
      </w:r>
      <w:r w:rsidRPr="000C6850">
        <w:rPr>
          <w:rFonts w:ascii="Times New Roman" w:hAnsi="Times New Roman" w:cs="Times New Roman"/>
          <w:sz w:val="22"/>
          <w:szCs w:val="22"/>
        </w:rPr>
        <w:t>, el artículo destaca que los lineamientos de la política educativa han intensificado la precariedad de los procesos de escolarización de jóvenes y adultos de clase trabajadora en la sociedad brasileña en el contexto de la crisis capitalista desde 2007, dificultando el acceso y la apropiación del conocimiento como legado de la humanidad.</w:t>
      </w:r>
    </w:p>
    <w:p w14:paraId="5D617C61" w14:textId="468C6D6F" w:rsidR="00BC5879" w:rsidRPr="004B770E" w:rsidRDefault="00BC5879" w:rsidP="000C6850">
      <w:pPr>
        <w:jc w:val="both"/>
        <w:rPr>
          <w:rFonts w:ascii="Ink Free" w:hAnsi="Ink Free"/>
          <w:sz w:val="24"/>
          <w:szCs w:val="24"/>
          <w:lang w:val="en-US"/>
        </w:rPr>
      </w:pPr>
      <w:r w:rsidRPr="000C6850">
        <w:rPr>
          <w:rFonts w:ascii="Times New Roman" w:hAnsi="Times New Roman" w:cs="Times New Roman"/>
          <w:b/>
          <w:sz w:val="22"/>
          <w:szCs w:val="22"/>
        </w:rPr>
        <w:t>Palabras clave</w:t>
      </w:r>
      <w:r w:rsidRPr="000C6850">
        <w:rPr>
          <w:rFonts w:ascii="Times New Roman" w:hAnsi="Times New Roman" w:cs="Times New Roman"/>
          <w:sz w:val="22"/>
          <w:szCs w:val="22"/>
        </w:rPr>
        <w:t xml:space="preserve">: </w:t>
      </w:r>
      <w:r w:rsidR="00441BF9" w:rsidRPr="00960636">
        <w:rPr>
          <w:rFonts w:ascii="Times New Roman" w:hAnsi="Times New Roman" w:cs="Times New Roman"/>
          <w:sz w:val="22"/>
          <w:szCs w:val="22"/>
        </w:rPr>
        <w:t>Educación de Jóvenes y Adultos</w:t>
      </w:r>
      <w:r w:rsidRPr="000C6850">
        <w:rPr>
          <w:rFonts w:ascii="Times New Roman" w:hAnsi="Times New Roman" w:cs="Times New Roman"/>
          <w:sz w:val="22"/>
          <w:szCs w:val="22"/>
        </w:rPr>
        <w:t xml:space="preserve">. </w:t>
      </w:r>
      <w:proofErr w:type="spellStart"/>
      <w:r w:rsidRPr="004B770E">
        <w:rPr>
          <w:rFonts w:ascii="Times New Roman" w:hAnsi="Times New Roman" w:cs="Times New Roman"/>
          <w:sz w:val="22"/>
          <w:szCs w:val="22"/>
          <w:lang w:val="en-US"/>
        </w:rPr>
        <w:t>Formación</w:t>
      </w:r>
      <w:proofErr w:type="spellEnd"/>
      <w:r w:rsidRPr="004B770E">
        <w:rPr>
          <w:rFonts w:ascii="Times New Roman" w:hAnsi="Times New Roman" w:cs="Times New Roman"/>
          <w:sz w:val="22"/>
          <w:szCs w:val="22"/>
          <w:lang w:val="en-US"/>
        </w:rPr>
        <w:t xml:space="preserve">. </w:t>
      </w:r>
      <w:proofErr w:type="spellStart"/>
      <w:r w:rsidRPr="004B770E">
        <w:rPr>
          <w:rFonts w:ascii="Times New Roman" w:hAnsi="Times New Roman" w:cs="Times New Roman"/>
          <w:sz w:val="22"/>
          <w:szCs w:val="22"/>
          <w:lang w:val="en-US"/>
        </w:rPr>
        <w:t>Trabajador</w:t>
      </w:r>
      <w:proofErr w:type="spellEnd"/>
      <w:r w:rsidRPr="004B770E">
        <w:rPr>
          <w:rFonts w:ascii="Times New Roman" w:hAnsi="Times New Roman" w:cs="Times New Roman"/>
          <w:sz w:val="22"/>
          <w:szCs w:val="22"/>
          <w:lang w:val="en-US"/>
        </w:rPr>
        <w:t>.</w:t>
      </w:r>
    </w:p>
    <w:p w14:paraId="0E309372" w14:textId="77777777" w:rsidR="009C63B1" w:rsidRPr="004B770E" w:rsidRDefault="009C63B1">
      <w:pPr>
        <w:widowControl w:val="0"/>
        <w:pBdr>
          <w:top w:val="nil"/>
          <w:left w:val="nil"/>
          <w:bottom w:val="nil"/>
          <w:right w:val="nil"/>
          <w:between w:val="nil"/>
        </w:pBdr>
        <w:rPr>
          <w:rFonts w:ascii="Arial" w:eastAsia="Arial" w:hAnsi="Arial" w:cs="Arial"/>
          <w:color w:val="000000"/>
          <w:sz w:val="18"/>
          <w:szCs w:val="18"/>
          <w:lang w:val="en-US"/>
        </w:rPr>
      </w:pPr>
    </w:p>
    <w:p w14:paraId="78953EA6" w14:textId="77777777" w:rsidR="009C63B1" w:rsidRPr="004B770E" w:rsidRDefault="009C63B1">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p w14:paraId="2AC3581F" w14:textId="7DE906CB" w:rsidR="009C63B1" w:rsidRPr="004B770E" w:rsidRDefault="009C63B1">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lang w:val="en-US"/>
        </w:rPr>
        <w:sectPr w:rsidR="009C63B1" w:rsidRPr="004B770E" w:rsidSect="00975784">
          <w:headerReference w:type="even" r:id="rId9"/>
          <w:headerReference w:type="default" r:id="rId10"/>
          <w:footerReference w:type="even" r:id="rId11"/>
          <w:footerReference w:type="default" r:id="rId12"/>
          <w:headerReference w:type="first" r:id="rId13"/>
          <w:pgSz w:w="11906" w:h="16838"/>
          <w:pgMar w:top="1417" w:right="1133" w:bottom="1133" w:left="1133" w:header="709" w:footer="567" w:gutter="0"/>
          <w:pgNumType w:start="1"/>
          <w:cols w:space="720"/>
          <w:titlePg/>
          <w:docGrid w:linePitch="272"/>
        </w:sectPr>
      </w:pPr>
    </w:p>
    <w:p w14:paraId="78054EA6" w14:textId="337B6707" w:rsidR="000C6850" w:rsidRPr="00B17F24" w:rsidRDefault="00B17F24" w:rsidP="00A1245D">
      <w:pPr>
        <w:jc w:val="both"/>
        <w:rPr>
          <w:rFonts w:ascii="Liberation Serif" w:hAnsi="Liberation Serif"/>
          <w:b/>
          <w:sz w:val="28"/>
          <w:szCs w:val="28"/>
          <w:lang w:val="en-US"/>
        </w:rPr>
      </w:pPr>
      <w:r w:rsidRPr="00B17F24">
        <w:rPr>
          <w:rFonts w:ascii="Liberation Serif" w:hAnsi="Liberation Serif"/>
          <w:b/>
          <w:sz w:val="28"/>
          <w:szCs w:val="28"/>
          <w:lang w:val="en-US"/>
        </w:rPr>
        <w:lastRenderedPageBreak/>
        <w:t>Introduction</w:t>
      </w:r>
    </w:p>
    <w:p w14:paraId="624960D3" w14:textId="77777777" w:rsidR="00B17F24" w:rsidRPr="00B17F24" w:rsidRDefault="00B17F24" w:rsidP="00B17F24">
      <w:pPr>
        <w:spacing w:line="360" w:lineRule="auto"/>
        <w:ind w:firstLine="567"/>
        <w:jc w:val="both"/>
        <w:rPr>
          <w:rFonts w:ascii="Liberation Serif" w:hAnsi="Liberation Serif" w:cs="Times New Roman"/>
          <w:sz w:val="24"/>
          <w:szCs w:val="24"/>
          <w:lang w:val="en-US"/>
        </w:rPr>
      </w:pPr>
      <w:r w:rsidRPr="00B17F24">
        <w:rPr>
          <w:rFonts w:ascii="Liberation Serif" w:hAnsi="Liberation Serif" w:cs="Times New Roman"/>
          <w:sz w:val="24"/>
          <w:szCs w:val="24"/>
          <w:lang w:val="en-US"/>
        </w:rPr>
        <w:t>This article discusses Brazilian political guidelines for the schooling of youth and adults in the context of the capitalist crisis defined by the period between 2007 and 2015. This period is considered to express, as indicated by Chesnais (2017), the tendency of the capitalist system to seek to surpass its historical limits, both in terms of the deepening of the precarization of living and working conditions and in relation to environmental deterioration.</w:t>
      </w:r>
    </w:p>
    <w:p w14:paraId="34146767" w14:textId="77777777" w:rsidR="00B17F24" w:rsidRPr="00B17F24" w:rsidRDefault="00B17F24" w:rsidP="00B17F24">
      <w:pPr>
        <w:spacing w:line="360" w:lineRule="auto"/>
        <w:ind w:firstLine="567"/>
        <w:jc w:val="both"/>
        <w:rPr>
          <w:rFonts w:ascii="Liberation Serif" w:hAnsi="Liberation Serif" w:cs="Times New Roman"/>
          <w:sz w:val="24"/>
          <w:szCs w:val="24"/>
          <w:lang w:val="en-US"/>
        </w:rPr>
      </w:pPr>
      <w:r w:rsidRPr="00B17F24">
        <w:rPr>
          <w:rFonts w:ascii="Liberation Serif" w:hAnsi="Liberation Serif" w:cs="Times New Roman"/>
          <w:sz w:val="24"/>
          <w:szCs w:val="24"/>
          <w:lang w:val="en-US"/>
        </w:rPr>
        <w:t>The analysis revolves around the following question: what are the implications of educational policies regarding proposals for the schooling of youth and adults in light of the intensification of the capitalist crisis between 2007 and 2015? According to authors such as Antunes (2018), Rummert (2017), and Kuenzer (2006), the article aims to reveal that these propositions converge with the interests of the Brazilian bourgeoisie, focusing on workforce training.</w:t>
      </w:r>
    </w:p>
    <w:p w14:paraId="55AAB534" w14:textId="562914AC" w:rsidR="000C6850" w:rsidRPr="00B17F24" w:rsidRDefault="00B17F24" w:rsidP="00B17F24">
      <w:pPr>
        <w:spacing w:line="360" w:lineRule="auto"/>
        <w:ind w:firstLine="567"/>
        <w:jc w:val="both"/>
        <w:rPr>
          <w:rFonts w:ascii="Liberation Serif" w:hAnsi="Liberation Serif" w:cs="Times New Roman"/>
          <w:sz w:val="24"/>
          <w:szCs w:val="24"/>
          <w:lang w:val="en-US"/>
        </w:rPr>
      </w:pPr>
      <w:r w:rsidRPr="00B17F24">
        <w:rPr>
          <w:rFonts w:ascii="Liberation Serif" w:hAnsi="Liberation Serif" w:cs="Times New Roman"/>
          <w:sz w:val="24"/>
          <w:szCs w:val="24"/>
          <w:lang w:val="en-US"/>
        </w:rPr>
        <w:t>The article aims to: 1) identify the perspectives of Brazilian education in light of the intensification of the capitalist crisis between 2007 and 2015; 2) analyze the proposals for the schooling of youth and adults in relation to the dominant conception present in Brazilian educational policy; and 3) quantitatively characterize the qualitative precarization in th</w:t>
      </w:r>
      <w:r>
        <w:rPr>
          <w:rFonts w:ascii="Liberation Serif" w:hAnsi="Liberation Serif" w:cs="Times New Roman"/>
          <w:sz w:val="24"/>
          <w:szCs w:val="24"/>
          <w:lang w:val="en-US"/>
        </w:rPr>
        <w:t>e schooling of youth and adults</w:t>
      </w:r>
      <w:r w:rsidR="000C6850" w:rsidRPr="00B17F24">
        <w:rPr>
          <w:rFonts w:ascii="Liberation Serif" w:hAnsi="Liberation Serif" w:cs="Times New Roman"/>
          <w:sz w:val="24"/>
          <w:szCs w:val="24"/>
          <w:lang w:val="en-US"/>
        </w:rPr>
        <w:t xml:space="preserve">. </w:t>
      </w:r>
    </w:p>
    <w:p w14:paraId="109BC236" w14:textId="77777777" w:rsidR="00B17F24" w:rsidRPr="00B17F24" w:rsidRDefault="00B17F24" w:rsidP="00B17F24">
      <w:pPr>
        <w:spacing w:line="360" w:lineRule="auto"/>
        <w:ind w:firstLine="567"/>
        <w:jc w:val="both"/>
        <w:rPr>
          <w:rFonts w:ascii="Liberation Serif" w:hAnsi="Liberation Serif" w:cs="Times New Roman"/>
          <w:sz w:val="24"/>
          <w:szCs w:val="24"/>
          <w:lang w:val="en-US"/>
        </w:rPr>
      </w:pPr>
      <w:r w:rsidRPr="00B17F24">
        <w:rPr>
          <w:rFonts w:ascii="Liberation Serif" w:hAnsi="Liberation Serif" w:cs="Times New Roman"/>
          <w:sz w:val="24"/>
          <w:szCs w:val="24"/>
          <w:lang w:val="en-US"/>
        </w:rPr>
        <w:t>The methodological procedure consists of a literature review, incorporating official documents that reflect an assessment of the schooling conditions of youth and adults between 2007 and 2015. Based on this literature review, an analysis was conducted regarding educational policy and its implications for the schooling of youth and adults.</w:t>
      </w:r>
    </w:p>
    <w:p w14:paraId="42765B7F" w14:textId="77777777" w:rsidR="00B17F24" w:rsidRPr="00B17F24" w:rsidRDefault="00B17F24" w:rsidP="00B17F24">
      <w:pPr>
        <w:spacing w:line="360" w:lineRule="auto"/>
        <w:ind w:firstLine="567"/>
        <w:jc w:val="both"/>
        <w:rPr>
          <w:rFonts w:ascii="Liberation Serif" w:hAnsi="Liberation Serif" w:cs="Times New Roman"/>
          <w:sz w:val="24"/>
          <w:szCs w:val="24"/>
          <w:lang w:val="en-US"/>
        </w:rPr>
      </w:pPr>
      <w:r w:rsidRPr="00B17F24">
        <w:rPr>
          <w:rFonts w:ascii="Liberation Serif" w:hAnsi="Liberation Serif" w:cs="Times New Roman"/>
          <w:sz w:val="24"/>
          <w:szCs w:val="24"/>
          <w:lang w:val="en-US"/>
        </w:rPr>
        <w:t>The article is organized into three parts. The first part is titled "A Brief Incursion into the Guidelines of Brazilian Education in the Context of the Capitalist Crisis." This section aims to observe the meaning attributed to Brazilian education in light of the technological, scientific, and informational changes brought about by the intensification of the capitalist crisis.</w:t>
      </w:r>
    </w:p>
    <w:p w14:paraId="25860BF5" w14:textId="083D7584" w:rsidR="000C6850" w:rsidRPr="00B17F24" w:rsidRDefault="00B17F24" w:rsidP="00B17F24">
      <w:pPr>
        <w:spacing w:line="360" w:lineRule="auto"/>
        <w:ind w:firstLine="567"/>
        <w:jc w:val="both"/>
        <w:rPr>
          <w:rFonts w:ascii="Liberation Serif" w:hAnsi="Liberation Serif" w:cs="Times New Roman"/>
          <w:sz w:val="24"/>
          <w:szCs w:val="24"/>
          <w:lang w:val="en-US"/>
        </w:rPr>
      </w:pPr>
      <w:r w:rsidRPr="00B17F24">
        <w:rPr>
          <w:rFonts w:ascii="Liberation Serif" w:hAnsi="Liberation Serif" w:cs="Times New Roman"/>
          <w:sz w:val="24"/>
          <w:szCs w:val="24"/>
          <w:lang w:val="en-US"/>
        </w:rPr>
        <w:t>The second part is named "Schooling of Youth and Adults in Brazilian Educational Policy (2007-2015)." This section analyzes the formulations of Brazilian educational policies for the schooling of working-class youth and adults. It portrays the dominant perspective present in these formulations, with an emphasis on the analysis of the adaptation needs of workers to the demands of productive restructuring. It argues that, both in terms of literacy and vocational training, as well as in funding, there has been a prevailing trend of political orientations that have maintained a precarious, fragmented, and superficial approach to the schooling of working-class youth and adults</w:t>
      </w:r>
      <w:r w:rsidR="000C6850" w:rsidRPr="00B17F24">
        <w:rPr>
          <w:rFonts w:ascii="Liberation Serif" w:hAnsi="Liberation Serif" w:cs="Times New Roman"/>
          <w:sz w:val="24"/>
          <w:szCs w:val="24"/>
          <w:lang w:val="en-US"/>
        </w:rPr>
        <w:t>.</w:t>
      </w:r>
    </w:p>
    <w:p w14:paraId="22856D74" w14:textId="72F5DF3A" w:rsidR="000C6850" w:rsidRPr="00B17F24" w:rsidRDefault="00B17F24" w:rsidP="004D0ED6">
      <w:pPr>
        <w:spacing w:line="360" w:lineRule="auto"/>
        <w:ind w:firstLine="567"/>
        <w:jc w:val="both"/>
        <w:rPr>
          <w:rFonts w:ascii="Liberation Serif" w:hAnsi="Liberation Serif"/>
          <w:sz w:val="24"/>
          <w:szCs w:val="24"/>
          <w:lang w:val="en-US"/>
        </w:rPr>
      </w:pPr>
      <w:r w:rsidRPr="00B17F24">
        <w:rPr>
          <w:rFonts w:ascii="Liberation Serif" w:hAnsi="Liberation Serif"/>
          <w:sz w:val="24"/>
          <w:szCs w:val="24"/>
          <w:lang w:val="en-US"/>
        </w:rPr>
        <w:t xml:space="preserve">"A Quantitative Approach to the Precarious Quality of the Schooling of Working Youth and Adults" constitutes the third part of this article. Drawing on official data related to basic education, it </w:t>
      </w:r>
      <w:r w:rsidRPr="00B17F24">
        <w:rPr>
          <w:rFonts w:ascii="Liberation Serif" w:hAnsi="Liberation Serif"/>
          <w:sz w:val="24"/>
          <w:szCs w:val="24"/>
          <w:lang w:val="en-US"/>
        </w:rPr>
        <w:lastRenderedPageBreak/>
        <w:t>discusses how this trend unfolds into a scenario of declining enrollment, as well as domination, non-recognition, and disrespect towards groups of working-class youth and adults who claim their rights through education</w:t>
      </w:r>
      <w:r w:rsidR="000C6850" w:rsidRPr="00B17F24">
        <w:rPr>
          <w:rFonts w:ascii="Liberation Serif" w:hAnsi="Liberation Serif"/>
          <w:sz w:val="24"/>
          <w:szCs w:val="24"/>
          <w:lang w:val="en-US"/>
        </w:rPr>
        <w:t xml:space="preserve">.   </w:t>
      </w:r>
    </w:p>
    <w:p w14:paraId="73C4BE80" w14:textId="1771D234" w:rsidR="000C6850" w:rsidRPr="00B17F24" w:rsidRDefault="000C6850" w:rsidP="004D0ED6">
      <w:pPr>
        <w:spacing w:line="360" w:lineRule="auto"/>
        <w:ind w:firstLine="567"/>
        <w:jc w:val="both"/>
        <w:rPr>
          <w:rFonts w:ascii="Liberation Serif" w:hAnsi="Liberation Serif"/>
          <w:strike/>
          <w:sz w:val="24"/>
          <w:szCs w:val="24"/>
          <w:lang w:val="en-US"/>
        </w:rPr>
      </w:pPr>
    </w:p>
    <w:p w14:paraId="205DFDE7" w14:textId="46246431" w:rsidR="000C6850" w:rsidRDefault="00B17F24" w:rsidP="00A1245D">
      <w:pPr>
        <w:pStyle w:val="PargrafodaLista"/>
        <w:numPr>
          <w:ilvl w:val="0"/>
          <w:numId w:val="1"/>
        </w:numPr>
        <w:spacing w:after="0" w:line="240" w:lineRule="auto"/>
        <w:ind w:left="0" w:firstLine="0"/>
        <w:contextualSpacing w:val="0"/>
        <w:jc w:val="both"/>
        <w:rPr>
          <w:rFonts w:ascii="Liberation Serif" w:hAnsi="Liberation Serif"/>
          <w:b/>
          <w:sz w:val="28"/>
          <w:szCs w:val="28"/>
          <w:lang w:val="en-US"/>
        </w:rPr>
      </w:pPr>
      <w:r w:rsidRPr="00B17F24">
        <w:rPr>
          <w:rFonts w:ascii="Liberation Serif" w:hAnsi="Liberation Serif"/>
          <w:b/>
          <w:sz w:val="28"/>
          <w:szCs w:val="28"/>
          <w:lang w:val="en-US"/>
        </w:rPr>
        <w:t>A brief</w:t>
      </w:r>
      <w:r w:rsidR="000C6850" w:rsidRPr="00B17F24">
        <w:rPr>
          <w:rFonts w:ascii="Liberation Serif" w:hAnsi="Liberation Serif"/>
          <w:b/>
          <w:sz w:val="28"/>
          <w:szCs w:val="28"/>
          <w:lang w:val="en-US"/>
        </w:rPr>
        <w:t xml:space="preserve"> inc</w:t>
      </w:r>
      <w:r w:rsidRPr="00B17F24">
        <w:rPr>
          <w:rFonts w:ascii="Liberation Serif" w:hAnsi="Liberation Serif"/>
          <w:b/>
          <w:sz w:val="28"/>
          <w:szCs w:val="28"/>
          <w:lang w:val="en-US"/>
        </w:rPr>
        <w:t>ursion</w:t>
      </w:r>
      <w:r w:rsidR="000C6850" w:rsidRPr="00B17F24">
        <w:rPr>
          <w:rFonts w:ascii="Liberation Serif" w:hAnsi="Liberation Serif"/>
          <w:b/>
          <w:sz w:val="28"/>
          <w:szCs w:val="28"/>
          <w:lang w:val="en-US"/>
        </w:rPr>
        <w:t xml:space="preserve"> </w:t>
      </w:r>
      <w:r w:rsidRPr="00B17F24">
        <w:rPr>
          <w:rFonts w:ascii="Liberation Serif" w:hAnsi="Liberation Serif"/>
          <w:b/>
          <w:sz w:val="28"/>
          <w:szCs w:val="28"/>
          <w:lang w:val="en-US"/>
        </w:rPr>
        <w:t>into the</w:t>
      </w:r>
      <w:r w:rsidR="000C6850" w:rsidRPr="00B17F24">
        <w:rPr>
          <w:rFonts w:ascii="Liberation Serif" w:hAnsi="Liberation Serif"/>
          <w:b/>
          <w:sz w:val="28"/>
          <w:szCs w:val="28"/>
          <w:lang w:val="en-US"/>
        </w:rPr>
        <w:t xml:space="preserve"> </w:t>
      </w:r>
      <w:r>
        <w:rPr>
          <w:rFonts w:ascii="Liberation Serif" w:hAnsi="Liberation Serif"/>
          <w:b/>
          <w:sz w:val="28"/>
          <w:szCs w:val="28"/>
          <w:lang w:val="en-US"/>
        </w:rPr>
        <w:t>guidelines of brazilian e</w:t>
      </w:r>
      <w:r w:rsidRPr="00B17F24">
        <w:rPr>
          <w:rFonts w:ascii="Liberation Serif" w:hAnsi="Liberation Serif"/>
          <w:b/>
          <w:sz w:val="28"/>
          <w:szCs w:val="28"/>
          <w:lang w:val="en-US"/>
        </w:rPr>
        <w:t>ducation</w:t>
      </w:r>
      <w:r w:rsidR="000C6850" w:rsidRPr="00B17F24">
        <w:rPr>
          <w:rFonts w:ascii="Liberation Serif" w:hAnsi="Liberation Serif"/>
          <w:b/>
          <w:sz w:val="28"/>
          <w:szCs w:val="28"/>
          <w:lang w:val="en-US"/>
        </w:rPr>
        <w:t xml:space="preserve"> </w:t>
      </w:r>
      <w:r>
        <w:rPr>
          <w:rFonts w:ascii="Liberation Serif" w:hAnsi="Liberation Serif"/>
          <w:b/>
          <w:sz w:val="28"/>
          <w:szCs w:val="28"/>
          <w:lang w:val="en-US"/>
        </w:rPr>
        <w:t>in the context of the capitalist c</w:t>
      </w:r>
      <w:r w:rsidRPr="00B17F24">
        <w:rPr>
          <w:rFonts w:ascii="Liberation Serif" w:hAnsi="Liberation Serif"/>
          <w:b/>
          <w:sz w:val="28"/>
          <w:szCs w:val="28"/>
          <w:lang w:val="en-US"/>
        </w:rPr>
        <w:t>risis</w:t>
      </w:r>
    </w:p>
    <w:p w14:paraId="7D248C15" w14:textId="77777777" w:rsidR="00B17F24" w:rsidRPr="00B17F24" w:rsidRDefault="00B17F24" w:rsidP="00B17F24">
      <w:pPr>
        <w:pStyle w:val="PargrafodaLista"/>
        <w:spacing w:after="0" w:line="240" w:lineRule="auto"/>
        <w:ind w:left="0"/>
        <w:contextualSpacing w:val="0"/>
        <w:jc w:val="both"/>
        <w:rPr>
          <w:rFonts w:ascii="Liberation Serif" w:hAnsi="Liberation Serif"/>
          <w:b/>
          <w:sz w:val="28"/>
          <w:szCs w:val="28"/>
          <w:lang w:val="en-US"/>
        </w:rPr>
      </w:pPr>
    </w:p>
    <w:p w14:paraId="4DAE29CF" w14:textId="2AF0486F" w:rsidR="00B17F24" w:rsidRPr="00B17F24" w:rsidRDefault="00B17F24" w:rsidP="00B17F24">
      <w:pPr>
        <w:spacing w:line="360" w:lineRule="auto"/>
        <w:ind w:firstLine="567"/>
        <w:jc w:val="both"/>
        <w:rPr>
          <w:rFonts w:ascii="Liberation Serif" w:hAnsi="Liberation Serif"/>
          <w:sz w:val="24"/>
          <w:szCs w:val="24"/>
          <w:lang w:val="en-US"/>
        </w:rPr>
      </w:pPr>
      <w:r w:rsidRPr="00B17F24">
        <w:rPr>
          <w:rFonts w:ascii="Liberation Serif" w:hAnsi="Liberation Serif"/>
          <w:sz w:val="24"/>
          <w:szCs w:val="24"/>
          <w:lang w:val="en-US"/>
        </w:rPr>
        <w:t>The capitalist crisis of 2007 found Brazilian society marked by the continuation of neoliberalism, reiterating the guidelines of international organizations such as the International Monetary Fund (IMF), the World Bank (WB), and the Inter-American Development Bank (IDB). Antunes (2018) indicates that, guided by the lens of social-liberalism, these guidelines preserved the hegemony of financial capital, fulfilling the demands for maximizing capitalist profits through the intensi</w:t>
      </w:r>
      <w:r>
        <w:rPr>
          <w:rFonts w:ascii="Liberation Serif" w:hAnsi="Liberation Serif"/>
          <w:sz w:val="24"/>
          <w:szCs w:val="24"/>
          <w:lang w:val="en-US"/>
        </w:rPr>
        <w:t>fication of labor exploitation.</w:t>
      </w:r>
    </w:p>
    <w:p w14:paraId="25F906DC" w14:textId="297D4B5F" w:rsidR="00B17F24" w:rsidRPr="00B17F24" w:rsidRDefault="00B17F24" w:rsidP="00B17F24">
      <w:pPr>
        <w:spacing w:line="360" w:lineRule="auto"/>
        <w:ind w:firstLine="567"/>
        <w:jc w:val="both"/>
        <w:rPr>
          <w:rFonts w:ascii="Liberation Serif" w:hAnsi="Liberation Serif"/>
          <w:sz w:val="24"/>
          <w:szCs w:val="24"/>
          <w:lang w:val="en-US"/>
        </w:rPr>
      </w:pPr>
      <w:r w:rsidRPr="00B17F24">
        <w:rPr>
          <w:rFonts w:ascii="Liberation Serif" w:hAnsi="Liberation Serif"/>
          <w:sz w:val="24"/>
          <w:szCs w:val="24"/>
          <w:lang w:val="en-US"/>
        </w:rPr>
        <w:t>The combination of the global crisis, productive restructuring, and neoliberalism intensified what Antunes (2018) describes as metamorphoses in the working class and its morphology. Online work deepened the precarization of living conditions for the Brazilian population, already severely affected by deregulation, outsourcing, an</w:t>
      </w:r>
      <w:r>
        <w:rPr>
          <w:rFonts w:ascii="Liberation Serif" w:hAnsi="Liberation Serif"/>
          <w:sz w:val="24"/>
          <w:szCs w:val="24"/>
          <w:lang w:val="en-US"/>
        </w:rPr>
        <w:t>d unemployment.</w:t>
      </w:r>
    </w:p>
    <w:p w14:paraId="4359ADD9" w14:textId="5D88E409" w:rsidR="000C6850" w:rsidRPr="00B17F24" w:rsidRDefault="00B17F24" w:rsidP="00B17F24">
      <w:pPr>
        <w:spacing w:line="360" w:lineRule="auto"/>
        <w:ind w:firstLine="567"/>
        <w:jc w:val="both"/>
        <w:rPr>
          <w:rFonts w:ascii="Liberation Serif" w:hAnsi="Liberation Serif"/>
          <w:sz w:val="24"/>
          <w:szCs w:val="24"/>
          <w:lang w:val="en-US"/>
        </w:rPr>
      </w:pPr>
      <w:r w:rsidRPr="00B17F24">
        <w:rPr>
          <w:rFonts w:ascii="Liberation Serif" w:hAnsi="Liberation Serif"/>
          <w:sz w:val="24"/>
          <w:szCs w:val="24"/>
          <w:lang w:val="en-US"/>
        </w:rPr>
        <w:t>The author emphasizes that the neoliberal political and economic guidelines have been maintained since the 1990s, preserving the interests of financial capital through the maintenance of a primary surplus. However, during Lula's second term (2007-2010), there were changes that, while not altering the neoliberal political and economic guidelines, allowed for the expansion of their support base</w:t>
      </w:r>
      <w:r w:rsidR="000C6850" w:rsidRPr="00B17F24">
        <w:rPr>
          <w:rFonts w:ascii="Liberation Serif" w:hAnsi="Liberation Serif"/>
          <w:sz w:val="24"/>
          <w:szCs w:val="24"/>
          <w:lang w:val="en-US"/>
        </w:rPr>
        <w:t xml:space="preserve">. </w:t>
      </w:r>
    </w:p>
    <w:p w14:paraId="626F4528" w14:textId="7BCB1312" w:rsidR="000C6850" w:rsidRPr="00B17F24" w:rsidRDefault="00B17F24" w:rsidP="004D0ED6">
      <w:pPr>
        <w:spacing w:line="360" w:lineRule="auto"/>
        <w:ind w:firstLine="567"/>
        <w:jc w:val="both"/>
        <w:rPr>
          <w:rFonts w:ascii="Liberation Serif" w:hAnsi="Liberation Serif"/>
          <w:sz w:val="24"/>
          <w:szCs w:val="24"/>
          <w:lang w:val="en-US"/>
        </w:rPr>
      </w:pPr>
      <w:r w:rsidRPr="00B17F24">
        <w:rPr>
          <w:rFonts w:ascii="Liberation Serif" w:hAnsi="Liberation Serif"/>
          <w:sz w:val="24"/>
          <w:szCs w:val="24"/>
          <w:lang w:val="en-US"/>
        </w:rPr>
        <w:t>Through the Bolsa Família Program, a targeted and assistance-based social policy, the Lula government "reached millions of poor families with low wages who, as a result, received a supplement" (ANTUNES, 2018, p. 223). The following synthesis illustrates what is referred to as the two ends of the social tragedy in Brazil</w:t>
      </w:r>
      <w:r w:rsidR="000C6850" w:rsidRPr="00B17F24">
        <w:rPr>
          <w:rFonts w:ascii="Liberation Serif" w:hAnsi="Liberation Serif"/>
          <w:sz w:val="24"/>
          <w:szCs w:val="24"/>
          <w:lang w:val="en-US"/>
        </w:rPr>
        <w:t xml:space="preserve">: </w:t>
      </w:r>
    </w:p>
    <w:p w14:paraId="61BCFBE0" w14:textId="11A67D9C" w:rsidR="000C6850" w:rsidRPr="00B17F24" w:rsidRDefault="00B17F24" w:rsidP="004D0ED6">
      <w:pPr>
        <w:ind w:left="2268"/>
        <w:jc w:val="both"/>
        <w:rPr>
          <w:rFonts w:ascii="Liberation Serif" w:hAnsi="Liberation Serif"/>
          <w:color w:val="00B0F0"/>
          <w:sz w:val="22"/>
          <w:szCs w:val="22"/>
          <w:lang w:val="en-US"/>
        </w:rPr>
      </w:pPr>
      <w:r w:rsidRPr="00B17F24">
        <w:rPr>
          <w:rFonts w:ascii="Liberation Serif" w:hAnsi="Liberation Serif"/>
          <w:sz w:val="22"/>
          <w:szCs w:val="22"/>
          <w:lang w:val="en-US"/>
        </w:rPr>
        <w:t>[The Lula government] provided exemplary remuneration to various fractions of capital (especially the financial sector, but also the industrial and agribusiness sectors) and, at the opposite end of the social pyramid, where we find the most 'disorganized' and 'impoverished' sectors of the Brazilian population—who depend on the state for survival—it implemented an assistance-based social policy, along with a slight increase in the minimum wage. It is crucial to add, however, that such measures did not confront any of the structural pillars of the unequal Brazilian society, where wealth continued to increase significantly</w:t>
      </w:r>
      <w:r w:rsidR="000C6850" w:rsidRPr="00B17F24">
        <w:rPr>
          <w:rFonts w:ascii="Liberation Serif" w:hAnsi="Liberation Serif"/>
          <w:sz w:val="22"/>
          <w:szCs w:val="22"/>
          <w:lang w:val="en-US"/>
        </w:rPr>
        <w:t xml:space="preserve"> (</w:t>
      </w:r>
      <w:r w:rsidR="007D3F6A" w:rsidRPr="00B17F24">
        <w:rPr>
          <w:rFonts w:ascii="Liberation Serif" w:hAnsi="Liberation Serif"/>
          <w:sz w:val="22"/>
          <w:szCs w:val="22"/>
          <w:lang w:val="en-US"/>
        </w:rPr>
        <w:t>ANTUNES</w:t>
      </w:r>
      <w:r w:rsidR="000C6850" w:rsidRPr="00B17F24">
        <w:rPr>
          <w:rFonts w:ascii="Liberation Serif" w:hAnsi="Liberation Serif"/>
          <w:sz w:val="22"/>
          <w:szCs w:val="22"/>
          <w:lang w:val="en-US"/>
        </w:rPr>
        <w:t>, 2018, p. 223)</w:t>
      </w:r>
      <w:r w:rsidR="006E0A1D" w:rsidRPr="00B17F24">
        <w:rPr>
          <w:rFonts w:ascii="Liberation Serif" w:hAnsi="Liberation Serif"/>
          <w:color w:val="00B0F0"/>
          <w:sz w:val="22"/>
          <w:szCs w:val="22"/>
          <w:lang w:val="en-US"/>
        </w:rPr>
        <w:t>.</w:t>
      </w:r>
    </w:p>
    <w:p w14:paraId="2A6F3D80" w14:textId="77777777" w:rsidR="0013504C" w:rsidRPr="00B17F24" w:rsidRDefault="0013504C" w:rsidP="004D0ED6">
      <w:pPr>
        <w:spacing w:line="360" w:lineRule="auto"/>
        <w:ind w:firstLine="567"/>
        <w:jc w:val="both"/>
        <w:rPr>
          <w:rFonts w:ascii="Liberation Serif" w:hAnsi="Liberation Serif"/>
          <w:sz w:val="24"/>
          <w:szCs w:val="24"/>
          <w:lang w:val="en-US"/>
        </w:rPr>
      </w:pPr>
    </w:p>
    <w:p w14:paraId="3E8E87F7"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lastRenderedPageBreak/>
        <w:t>In this context, it can be considered that the capitalist crisis of 2007 was addressed by the Lula government with measures grounded in both ends of the social tragedy. Economic growth during times of crisis was ensured through tax reductions in fundamental sectors of the economy, such as the automotive industry, appliances, and construction. While favoring bourgeois interests, these measures relied on the incorporation of the labor force, which contributed to the expansion of the domestic market, compensating for the decline in exports (ANTUNES, 2018).</w:t>
      </w:r>
    </w:p>
    <w:p w14:paraId="7D02EF3C"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This process contributed to the advancement of educational proposals and actions aimed at the most vulnerable groups of the Brazilian working class. Silva (2015) notes that accountability policies were the central strategy employed by the federal government to enhance training partnerships for the working class, especially with businesses.</w:t>
      </w:r>
    </w:p>
    <w:p w14:paraId="74A0CF33" w14:textId="4F36FFFB"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According to the author, the education provided to the most vulnerable groups of the working class converged with the project of the Brazilian bourgeoisie, which demanded the adaptation of the labor force to the performance standards required by the increasing capitalist competitiveness on an international scale. At the same time that it played a central role in implementing social program</w:t>
      </w:r>
      <w:r w:rsidR="009F7CA5">
        <w:rPr>
          <w:rFonts w:ascii="Liberation Serif" w:hAnsi="Liberation Serif"/>
          <w:sz w:val="24"/>
          <w:szCs w:val="24"/>
          <w:lang w:val="en-US"/>
        </w:rPr>
        <w:t xml:space="preserve">s - </w:t>
      </w:r>
      <w:r w:rsidRPr="00A07D1F">
        <w:rPr>
          <w:rFonts w:ascii="Liberation Serif" w:hAnsi="Liberation Serif"/>
          <w:sz w:val="24"/>
          <w:szCs w:val="24"/>
          <w:lang w:val="en-US"/>
        </w:rPr>
        <w:t>such as Bolsa Família,</w:t>
      </w:r>
      <w:r w:rsidR="009F7CA5">
        <w:rPr>
          <w:rFonts w:ascii="Liberation Serif" w:hAnsi="Liberation Serif"/>
          <w:sz w:val="24"/>
          <w:szCs w:val="24"/>
          <w:lang w:val="en-US"/>
        </w:rPr>
        <w:t xml:space="preserve"> ProJovem, and Primeiro Emprego- </w:t>
      </w:r>
      <w:r w:rsidRPr="00A07D1F">
        <w:rPr>
          <w:rFonts w:ascii="Liberation Serif" w:hAnsi="Liberation Serif"/>
          <w:sz w:val="24"/>
          <w:szCs w:val="24"/>
          <w:lang w:val="en-US"/>
        </w:rPr>
        <w:t>that distributed income to the poorest, education was strategically configured so that businesses could advance their socio-economic and ideopolitical interests.</w:t>
      </w:r>
    </w:p>
    <w:p w14:paraId="1603DA67" w14:textId="45A31F50" w:rsidR="000C6850"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The business sector expanded its capacity for ideological formulation and political action in institutional decision-making spaces at the national level. This capacity for formulation and action facilitated the consolidation of the idea of social responsibility as an educational strategy for social concertation</w:t>
      </w:r>
      <w:r w:rsidR="000C6850" w:rsidRPr="00A07D1F">
        <w:rPr>
          <w:rFonts w:ascii="Liberation Serif" w:hAnsi="Liberation Serif"/>
          <w:sz w:val="24"/>
          <w:szCs w:val="24"/>
          <w:lang w:val="en-US"/>
        </w:rPr>
        <w:t>.</w:t>
      </w:r>
    </w:p>
    <w:p w14:paraId="2CDE53D9" w14:textId="3DFA12B8" w:rsidR="000C6850" w:rsidRPr="00A07D1F" w:rsidRDefault="00A07D1F" w:rsidP="007D3F6A">
      <w:pPr>
        <w:ind w:left="2268"/>
        <w:jc w:val="both"/>
        <w:rPr>
          <w:rFonts w:ascii="Liberation Serif" w:hAnsi="Liberation Serif"/>
          <w:color w:val="00B0F0"/>
          <w:sz w:val="22"/>
          <w:szCs w:val="22"/>
          <w:lang w:val="en-US"/>
        </w:rPr>
      </w:pPr>
      <w:r w:rsidRPr="00A07D1F">
        <w:rPr>
          <w:rFonts w:ascii="Liberation Serif" w:hAnsi="Liberation Serif"/>
          <w:sz w:val="22"/>
          <w:szCs w:val="22"/>
          <w:lang w:val="en-US"/>
        </w:rPr>
        <w:t xml:space="preserve">The business sector systematized the idea of the collaborating citizen, which is based on the perspective of adapting the working class to social inequalities, neglecting their rights and subordinating themselves to conditions of exploitation. Avoiding social dissatisfaction through awareness provided the bourgeoisie's educational proposals and actions with the purpose of neutralizing class antagonisms </w:t>
      </w:r>
      <w:r w:rsidR="000C6850" w:rsidRPr="00A07D1F">
        <w:rPr>
          <w:rFonts w:ascii="Liberation Serif" w:hAnsi="Liberation Serif"/>
          <w:sz w:val="22"/>
          <w:szCs w:val="22"/>
          <w:lang w:val="en-US"/>
        </w:rPr>
        <w:t>(SILVA, 2015</w:t>
      </w:r>
      <w:r w:rsidR="007D3F6A" w:rsidRPr="00A07D1F">
        <w:rPr>
          <w:rFonts w:ascii="Liberation Serif" w:hAnsi="Liberation Serif"/>
          <w:sz w:val="22"/>
          <w:szCs w:val="22"/>
          <w:lang w:val="en-US"/>
        </w:rPr>
        <w:t>, p. 74</w:t>
      </w:r>
      <w:r w:rsidR="000C6850" w:rsidRPr="00A07D1F">
        <w:rPr>
          <w:rFonts w:ascii="Liberation Serif" w:hAnsi="Liberation Serif"/>
          <w:sz w:val="22"/>
          <w:szCs w:val="22"/>
          <w:lang w:val="en-US"/>
        </w:rPr>
        <w:t>)</w:t>
      </w:r>
      <w:r w:rsidR="006E0A1D" w:rsidRPr="00A07D1F">
        <w:rPr>
          <w:rFonts w:ascii="Liberation Serif" w:hAnsi="Liberation Serif"/>
          <w:color w:val="00B0F0"/>
          <w:sz w:val="22"/>
          <w:szCs w:val="22"/>
          <w:lang w:val="en-US"/>
        </w:rPr>
        <w:t>.</w:t>
      </w:r>
    </w:p>
    <w:p w14:paraId="2A41544E" w14:textId="77777777" w:rsidR="0013504C" w:rsidRPr="00A07D1F" w:rsidRDefault="0013504C" w:rsidP="007D3F6A">
      <w:pPr>
        <w:ind w:left="2268"/>
        <w:jc w:val="both"/>
        <w:rPr>
          <w:rFonts w:ascii="Liberation Serif" w:hAnsi="Liberation Serif"/>
          <w:color w:val="00B0F0"/>
          <w:sz w:val="22"/>
          <w:szCs w:val="22"/>
          <w:lang w:val="en-US"/>
        </w:rPr>
      </w:pPr>
    </w:p>
    <w:p w14:paraId="684368AC" w14:textId="7AAA18BE" w:rsidR="000C6850" w:rsidRPr="00A07D1F" w:rsidRDefault="00A07D1F" w:rsidP="004D0ED6">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 xml:space="preserve">It was in the context of deepening the demands for the adaptation of the most vulnerable segments of the working class to the performance standards required by increasing capitalist competitiveness on an international scale that the Lula government launched the Education Development Plan (PDE) in 2007. According to Saviani (2007), the Education Development Plan (PDE) consisted of a set of 30 actions distributed as follows: basic education with 17 actions; higher education with 5 actions; modes of education with 7 actions (1 action for the education of youth and </w:t>
      </w:r>
      <w:r w:rsidRPr="00A07D1F">
        <w:rPr>
          <w:rFonts w:ascii="Liberation Serif" w:hAnsi="Liberation Serif"/>
          <w:sz w:val="24"/>
          <w:szCs w:val="24"/>
          <w:lang w:val="en-US"/>
        </w:rPr>
        <w:lastRenderedPageBreak/>
        <w:t>adults, 3 actions for "special education," and 3 actions for vocational education); and finally, "internships" with one action</w:t>
      </w:r>
      <w:r w:rsidR="000C6850" w:rsidRPr="00A07D1F">
        <w:rPr>
          <w:rFonts w:ascii="Liberation Serif" w:hAnsi="Liberation Serif"/>
          <w:sz w:val="24"/>
          <w:szCs w:val="24"/>
          <w:lang w:val="en-US"/>
        </w:rPr>
        <w:t>.</w:t>
      </w:r>
    </w:p>
    <w:p w14:paraId="3B85CEFF"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Launched simultaneously with Decree No. 6094 on April 24, 2007, which provided for the "Commitment Goals Plan: Everyone for Education," Saviani (2007) indicates that the Education Development Plan (PDE) was configured more as an action program than as a true plan. This is because the PDE suffered from the “idea of educational plans as instruments for introducing rationality into educational action, understood as a global process that articulates the multiplicity of its constitutive aspects into an organic whole” (SAVIANI, 2007, p. 1242).</w:t>
      </w:r>
    </w:p>
    <w:p w14:paraId="1762E9DA"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Although it was characterized as a program of actions that were already being implemented in the context of the various levels and modalities of education, as well as support measures for infrastructure, the author points out that the uniqueness of the PDE lay in the centrality it assigned to the qualitative problem of Brazilian basic education. He notes that the establishment of the "Basic Education Development Index" (IDEB), "Provinha Brasil," and the "Teaching Floor" revealed the specificity of the PDE. In his analysis, he further considers that the IDEB gave identity to the PDE, with "Provinha Brasil" and the "Teaching Floor" as supporting actions in this process.</w:t>
      </w:r>
    </w:p>
    <w:p w14:paraId="6053F9A3" w14:textId="560CDB00" w:rsidR="000C6850"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The issues surrounding the quality of teaching in basic education had a significant social appeal, but their management within the establishment of the IDEB by the National Education Plan was carried out through the alliance between Lula's government and the business sector. The launch of the National Education Plan, centered on the IDEB, alongside the decree establishing the Commitment Goals Plan: Everyone for Education, reveals that this alliance was defined by the following goals: 1) all children and young people aged 4 to 17 must be in school; 2) all children aged 8 must be able to read and write; 3) all students must learn what is appropriate for their grade; 4) all students must complete elementary and high school; 5) the necessary investment in basic education must be guaranteed and well-managed</w:t>
      </w:r>
      <w:r w:rsidR="000C6850" w:rsidRPr="00A07D1F">
        <w:rPr>
          <w:rFonts w:ascii="Liberation Serif" w:hAnsi="Liberation Serif"/>
          <w:sz w:val="24"/>
          <w:szCs w:val="24"/>
          <w:lang w:val="en-US"/>
        </w:rPr>
        <w:t xml:space="preserve"> (SAVIANI, 2007)</w:t>
      </w:r>
      <w:r w:rsidR="006E0A1D" w:rsidRPr="00A07D1F">
        <w:rPr>
          <w:rFonts w:ascii="Liberation Serif" w:hAnsi="Liberation Serif"/>
          <w:color w:val="00B0F0"/>
          <w:sz w:val="24"/>
          <w:szCs w:val="24"/>
          <w:lang w:val="en-US"/>
        </w:rPr>
        <w:t>.</w:t>
      </w:r>
    </w:p>
    <w:p w14:paraId="0A4B563B"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The state-business political ties consolidated educational guidelines for what Saviani (2007) refers to as "results-oriented pedagogy." This means that the business demands regarding the fulfillment of targets defined the adjustments to the meaning attributed to quality.</w:t>
      </w:r>
    </w:p>
    <w:p w14:paraId="6AE99419" w14:textId="53137C2F" w:rsidR="000C6850"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In Silva's (2015) analysis, "results-oriented pedagogy" stimulated competitiveness based on the concepts of competencies and skills necessary for insertion into capitalist productivity. It linked school education to the assumptions that, in light of the crisis promoting unemployment and the precarization of work, it would be necessary to align with the perspectives of updating Human Capital Theory to offer potential employability, entrepreneurial training, and efficiency standards dictated by the market</w:t>
      </w:r>
      <w:r w:rsidR="000C6850" w:rsidRPr="00A07D1F">
        <w:rPr>
          <w:rFonts w:ascii="Liberation Serif" w:hAnsi="Liberation Serif"/>
          <w:sz w:val="24"/>
          <w:szCs w:val="24"/>
          <w:lang w:val="en-US"/>
        </w:rPr>
        <w:t xml:space="preserve">. </w:t>
      </w:r>
    </w:p>
    <w:p w14:paraId="4D953A87"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lastRenderedPageBreak/>
        <w:t>Furthermore, "results-oriented pedagogy" emphasized the importance of rationalization, efficiency, and productivity in the construction of competencies and in defining the quality necessary to "make individuals more productive both in their integration into the workforce and in their participation in societal life" (SAVIANI, 2013, p. 438). Its principles highlighted "the valorization of market mechanisms, the appeal to private initiative and non-governmental organizations, and the reduction of the size of the state and public sector initiatives" (Idem).</w:t>
      </w:r>
    </w:p>
    <w:p w14:paraId="70F32C20"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Despite combining data related to student performance with that of dropout rates and repetition, and assessing learning by a common national standard, Saviani's (2007) analyses allow us to consider that the IDEB established an evaluation that emphasizes results at the expense of a diagnosis of the pedagogical process involving students, teachers, and schools. The institution of the IDEB, along with "Provinha Brasil," limited evaluation to an episodic nature without a continuity relationship that would allow for understanding literacy throughout the pedagogical process that marks the rhythms and stages of student development throughout basic education.</w:t>
      </w:r>
    </w:p>
    <w:p w14:paraId="3BF0B4B9"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The analyses by Almeida, Dalben, and Freitas (2013) warn that the IDEB tends to portray the school as solely responsible for its students' performance, neglecting the characteristics of their integration into the education system, educational policies, and the social context. While reinforcing the exclusive accountability of the school and its professionals, it absolves the education systems, educational policies, and social context of influencing the conduct of the pedagogical process.</w:t>
      </w:r>
    </w:p>
    <w:p w14:paraId="7168CAC8" w14:textId="2BBDBE68" w:rsidR="000C6850"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Without establishing connections with the education systems, educational policies, and the social context, the study by Calderano, Barbacovi, and Pereira (2013) highlights that the IDEB has become a ranking tool for schools, generating feelings of indifference, devaluation, and failure among students, educators, and their families or guardians. In addition to these feelings, it intensified educational work by establishing evaluation as a mechanism of control over the pedagogical process</w:t>
      </w:r>
      <w:r w:rsidR="000C6850" w:rsidRPr="00A07D1F">
        <w:rPr>
          <w:rFonts w:ascii="Liberation Serif" w:hAnsi="Liberation Serif"/>
          <w:sz w:val="24"/>
          <w:szCs w:val="24"/>
          <w:lang w:val="en-US"/>
        </w:rPr>
        <w:t>.</w:t>
      </w:r>
    </w:p>
    <w:p w14:paraId="3762B3F5" w14:textId="47267DCA" w:rsidR="00A1245D" w:rsidRPr="00A07D1F" w:rsidRDefault="00A1245D" w:rsidP="004D0ED6">
      <w:pPr>
        <w:spacing w:line="360" w:lineRule="auto"/>
        <w:ind w:firstLine="567"/>
        <w:jc w:val="both"/>
        <w:rPr>
          <w:rFonts w:ascii="Liberation Serif" w:hAnsi="Liberation Serif"/>
          <w:sz w:val="24"/>
          <w:szCs w:val="24"/>
          <w:lang w:val="en-US"/>
        </w:rPr>
      </w:pPr>
    </w:p>
    <w:p w14:paraId="74DDCB76" w14:textId="5898B4C7" w:rsidR="000C6850" w:rsidRPr="00A07D1F" w:rsidRDefault="00A07D1F" w:rsidP="00A1245D">
      <w:pPr>
        <w:pStyle w:val="PargrafodaLista"/>
        <w:numPr>
          <w:ilvl w:val="0"/>
          <w:numId w:val="1"/>
        </w:numPr>
        <w:spacing w:after="0" w:line="240" w:lineRule="auto"/>
        <w:ind w:left="0" w:firstLine="0"/>
        <w:contextualSpacing w:val="0"/>
        <w:jc w:val="both"/>
        <w:rPr>
          <w:rFonts w:ascii="Liberation Serif" w:hAnsi="Liberation Serif"/>
          <w:b/>
          <w:sz w:val="28"/>
          <w:szCs w:val="28"/>
          <w:lang w:val="en-US"/>
        </w:rPr>
      </w:pPr>
      <w:r w:rsidRPr="00A07D1F">
        <w:rPr>
          <w:rFonts w:ascii="Liberation Serif" w:hAnsi="Liberation Serif"/>
          <w:b/>
          <w:sz w:val="28"/>
          <w:szCs w:val="28"/>
          <w:lang w:val="en-US"/>
        </w:rPr>
        <w:t xml:space="preserve">Schooling of Youth and Adults in Brazilian Educational Policy </w:t>
      </w:r>
      <w:r w:rsidR="005E2F54" w:rsidRPr="00A07D1F">
        <w:rPr>
          <w:rFonts w:ascii="Liberation Serif" w:hAnsi="Liberation Serif"/>
          <w:b/>
          <w:sz w:val="28"/>
          <w:szCs w:val="28"/>
          <w:lang w:val="en-US"/>
        </w:rPr>
        <w:t>(2007-2015)</w:t>
      </w:r>
      <w:r w:rsidR="000C6850" w:rsidRPr="00A07D1F">
        <w:rPr>
          <w:rFonts w:ascii="Liberation Serif" w:hAnsi="Liberation Serif"/>
          <w:b/>
          <w:sz w:val="28"/>
          <w:szCs w:val="28"/>
          <w:lang w:val="en-US"/>
        </w:rPr>
        <w:t xml:space="preserve"> </w:t>
      </w:r>
    </w:p>
    <w:p w14:paraId="6C1F7BB7" w14:textId="77777777" w:rsidR="009A65A5" w:rsidRPr="00A07D1F" w:rsidRDefault="009A65A5" w:rsidP="004D0ED6">
      <w:pPr>
        <w:spacing w:line="360" w:lineRule="auto"/>
        <w:ind w:firstLine="567"/>
        <w:jc w:val="both"/>
        <w:rPr>
          <w:rFonts w:ascii="Liberation Serif" w:hAnsi="Liberation Serif"/>
          <w:sz w:val="24"/>
          <w:szCs w:val="24"/>
          <w:lang w:val="en-US"/>
        </w:rPr>
      </w:pPr>
    </w:p>
    <w:p w14:paraId="7BD36DB1" w14:textId="49AFAF39" w:rsidR="000C6850" w:rsidRPr="00A07D1F" w:rsidRDefault="00A07D1F" w:rsidP="004D0ED6">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As highlighted in the previous section, the education of the working class became guided by targeted policies aimed at vulnerable groups whose conditions of unemployment, labor precarization, and withdrawal of rights marked their social relations. These targeted policies facilitated a process of naturalizing inequalities within capitalism, where workers adapted to provisional circumstances and the expectations of social integration</w:t>
      </w:r>
      <w:r w:rsidR="000C6850" w:rsidRPr="00A07D1F">
        <w:rPr>
          <w:rFonts w:ascii="Liberation Serif" w:hAnsi="Liberation Serif"/>
          <w:sz w:val="24"/>
          <w:szCs w:val="24"/>
          <w:lang w:val="en-US"/>
        </w:rPr>
        <w:t xml:space="preserve">. </w:t>
      </w:r>
      <w:r w:rsidRPr="00A07D1F">
        <w:rPr>
          <w:rFonts w:ascii="Liberation Serif" w:hAnsi="Liberation Serif"/>
          <w:sz w:val="24"/>
          <w:szCs w:val="24"/>
          <w:lang w:val="en-US"/>
        </w:rPr>
        <w:t xml:space="preserve">In connection with the ideological and political dimension of naturalizing inequalities, the education policies for workers were implemented through privatization </w:t>
      </w:r>
      <w:r w:rsidRPr="00A07D1F">
        <w:rPr>
          <w:rFonts w:ascii="Liberation Serif" w:hAnsi="Liberation Serif"/>
          <w:sz w:val="24"/>
          <w:szCs w:val="24"/>
          <w:lang w:val="en-US"/>
        </w:rPr>
        <w:lastRenderedPageBreak/>
        <w:t>mechanisms, where business institutions took on the responsibility for training in simple, fragmented, and superficial work</w:t>
      </w:r>
      <w:r w:rsidR="000C6850" w:rsidRPr="00A07D1F">
        <w:rPr>
          <w:rFonts w:ascii="Liberation Serif" w:hAnsi="Liberation Serif"/>
          <w:sz w:val="24"/>
          <w:szCs w:val="24"/>
          <w:lang w:val="en-US"/>
        </w:rPr>
        <w:t>.</w:t>
      </w:r>
    </w:p>
    <w:p w14:paraId="3F4E63FB"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These proposals maintained the historically supplementary nature of the processes of schooling for youth and adults without addressing existing problems in terms of financing, pedagogical proposals, and teacher training. As highlighted by Bomfim and Rummert (2017), archaic relationships tied to the precarization of work were preserved, combined with the scientific-technological-informational modernization that the Brazilian bourgeoisie consolidated in the relationship between social development and economic growth.</w:t>
      </w:r>
    </w:p>
    <w:p w14:paraId="792CF15E" w14:textId="64659A80" w:rsidR="000C6850"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Financing for Youth and Adult Education is undoubtedly a fundamental element in preserving these historical characteristics. As noted by Carvalho (2014), the establishment of the Fund for Maintenance and Development of Basic Education (FUNDEB) in 2007 increased financial resources to cater to all modalities of basic education, including EJA (</w:t>
      </w:r>
      <w:r w:rsidR="009F7CA5">
        <w:rPr>
          <w:rFonts w:ascii="Liberation Serif" w:hAnsi="Liberation Serif"/>
          <w:sz w:val="24"/>
          <w:szCs w:val="24"/>
          <w:lang w:val="en-US"/>
        </w:rPr>
        <w:t>Education of Youth and A</w:t>
      </w:r>
      <w:r w:rsidR="009F7CA5" w:rsidRPr="009F7CA5">
        <w:rPr>
          <w:rFonts w:ascii="Liberation Serif" w:hAnsi="Liberation Serif"/>
          <w:sz w:val="24"/>
          <w:szCs w:val="24"/>
          <w:lang w:val="en-US"/>
        </w:rPr>
        <w:t>dults</w:t>
      </w:r>
      <w:r w:rsidRPr="00A07D1F">
        <w:rPr>
          <w:rFonts w:ascii="Liberation Serif" w:hAnsi="Liberation Serif"/>
          <w:sz w:val="24"/>
          <w:szCs w:val="24"/>
          <w:lang w:val="en-US"/>
        </w:rPr>
        <w:t>). Despite this, the provision remained marginal compared to the needs of EJA, as the investments allocated were lower than those for other modalities of basic education, revealing the palliative nature of the policies for young and adult workers who were minimally or not educated in the context of the neoliberal State Reform</w:t>
      </w:r>
      <w:r w:rsidR="000C6850" w:rsidRPr="00A07D1F">
        <w:rPr>
          <w:rFonts w:ascii="Liberation Serif" w:hAnsi="Liberation Serif" w:cs="Microsoft Tai Le"/>
          <w:sz w:val="24"/>
          <w:szCs w:val="24"/>
          <w:lang w:val="en-US"/>
        </w:rPr>
        <w:t>.</w:t>
      </w:r>
    </w:p>
    <w:p w14:paraId="57FE36FC" w14:textId="28E50DD2" w:rsidR="00A07D1F" w:rsidRPr="00A07D1F" w:rsidRDefault="00A07D1F" w:rsidP="00A07D1F">
      <w:pPr>
        <w:spacing w:line="360" w:lineRule="auto"/>
        <w:ind w:firstLine="567"/>
        <w:jc w:val="both"/>
        <w:rPr>
          <w:rFonts w:ascii="Liberation Serif" w:hAnsi="Liberation Serif" w:cs="Microsoft Tai Le"/>
          <w:sz w:val="24"/>
          <w:szCs w:val="24"/>
          <w:lang w:val="en-US"/>
        </w:rPr>
      </w:pPr>
      <w:r w:rsidRPr="00A07D1F">
        <w:rPr>
          <w:rFonts w:ascii="Liberation Serif" w:hAnsi="Liberation Serif" w:cs="Microsoft Tai Le"/>
          <w:sz w:val="24"/>
          <w:szCs w:val="24"/>
          <w:lang w:val="en-US"/>
        </w:rPr>
        <w:t>Carvalho (2014) demonstrates that the palliative nature attributed to EJA  was evidenced by two measures in the regulation of FUNDEB. First, there was a limitation of a maximum percentage of 15% of resources for EJA, while for other modalities, the percentage was 20%. In addition to this limitation, the weighting factor for EJA was set at 0.7 (which became 0.8 in 2009), making it 30% and later 20% lower than the standard reference established for the initial years of urban elementary education, which was the lowest among the modalities of basic education.</w:t>
      </w:r>
    </w:p>
    <w:p w14:paraId="18381ECB" w14:textId="00822127" w:rsidR="000C6850" w:rsidRPr="00A07D1F" w:rsidRDefault="00A07D1F" w:rsidP="00A07D1F">
      <w:pPr>
        <w:spacing w:line="360" w:lineRule="auto"/>
        <w:ind w:firstLine="567"/>
        <w:jc w:val="both"/>
        <w:rPr>
          <w:rFonts w:ascii="Liberation Serif" w:hAnsi="Liberation Serif" w:cs="Microsoft Tai Le"/>
          <w:sz w:val="24"/>
          <w:szCs w:val="24"/>
          <w:lang w:val="en-US"/>
        </w:rPr>
      </w:pPr>
      <w:r w:rsidRPr="00A07D1F">
        <w:rPr>
          <w:rFonts w:ascii="Liberation Serif" w:hAnsi="Liberation Serif" w:cs="Microsoft Tai Le"/>
          <w:sz w:val="24"/>
          <w:szCs w:val="24"/>
          <w:lang w:val="en-US"/>
        </w:rPr>
        <w:t>Another measure highlighted by the author that altered the funding policy for EJA was its division into two groups within FUNDEB: EJA with evaluation in the process and EJA integrated with medium-level vocational education with evaluation in the process. It is important to note that EJA with evaluation in the process remained with the weighting factor of 0.8 until 2020, the year set for the conclusion of FUNDEB, while EJA integrated with medium-level vocational education with evaluation in the process received a weighting factor of 1.20. Despite being a lower increase compared to the integrated medium education, which was 1.30, this development signals that training for work became central in the policies for EJA from the mid-2000s onward</w:t>
      </w:r>
      <w:r w:rsidR="000C6850" w:rsidRPr="00A07D1F">
        <w:rPr>
          <w:rFonts w:ascii="Liberation Serif" w:hAnsi="Liberation Serif" w:cs="Microsoft Tai Le"/>
          <w:sz w:val="24"/>
          <w:szCs w:val="24"/>
          <w:lang w:val="en-US"/>
        </w:rPr>
        <w:t xml:space="preserve">. </w:t>
      </w:r>
    </w:p>
    <w:p w14:paraId="3C020DD7" w14:textId="658647BC" w:rsidR="000C6850" w:rsidRPr="00A07D1F" w:rsidRDefault="00A07D1F" w:rsidP="004D0ED6">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In any case, from literacy to vocational training, precarization, fragmentation, and superficiality remained as structural axes of the policies for Youth and Adult Education. It can be considered that these axes defined the schooling of youth and adults between 2007 and 2015</w:t>
      </w:r>
      <w:r w:rsidR="000C6850" w:rsidRPr="00A07D1F">
        <w:rPr>
          <w:rFonts w:ascii="Liberation Serif" w:hAnsi="Liberation Serif"/>
          <w:sz w:val="24"/>
          <w:szCs w:val="24"/>
          <w:lang w:val="en-US"/>
        </w:rPr>
        <w:t xml:space="preserve">. </w:t>
      </w:r>
    </w:p>
    <w:p w14:paraId="7BD29B7A" w14:textId="77777777" w:rsidR="00A07D1F"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lastRenderedPageBreak/>
        <w:t>In terms of literacy, the Brasil Alfabetizado Program, established by Law No. 10,880 on June 9, 2004, and redefined by Law No. 11,507 on July 20, 2007, aimed to eradicate illiteracy and contribute to the universalization of elementary education through actions directed at young people aged 15 and older, adults, and the elderly in the Federal District, states, and municipalities. This contribution consisted of financial resource transfers to federal entities, as well as monthly benefit payments to volunteers acting as literacy teachers, translators-interpreters of Brazilian Sign Language (Libras), and class coordinators (RUMMERT and VENTURA, 2007).</w:t>
      </w:r>
    </w:p>
    <w:p w14:paraId="7D6E4D0D" w14:textId="45288F9C" w:rsidR="000C6850" w:rsidRPr="00A07D1F" w:rsidRDefault="00A07D1F" w:rsidP="00A07D1F">
      <w:pPr>
        <w:spacing w:line="360" w:lineRule="auto"/>
        <w:ind w:firstLine="567"/>
        <w:jc w:val="both"/>
        <w:rPr>
          <w:rFonts w:ascii="Liberation Serif" w:hAnsi="Liberation Serif"/>
          <w:sz w:val="24"/>
          <w:szCs w:val="24"/>
          <w:lang w:val="en-US"/>
        </w:rPr>
      </w:pPr>
      <w:r w:rsidRPr="00A07D1F">
        <w:rPr>
          <w:rFonts w:ascii="Liberation Serif" w:hAnsi="Liberation Serif"/>
          <w:sz w:val="24"/>
          <w:szCs w:val="24"/>
          <w:lang w:val="en-US"/>
        </w:rPr>
        <w:t>Criticism of the Brasil Alfabetizado Program (PBA) by educational specialists prompted reforms intended to mitigate its campaign-like character, particularly following the program's coordination by the Secretariat of Continuing Education, Literacy, and Diversity (SECAD) in 2007. Despite the centrality acquired by a literacy proposal for young and adult workers with little or no education, based on the expansion of financial, organizational, and human resources, political visibility, and intensified monitoring and evaluation of results, the adjustments and readjustments maintained the foundations of the emergency conception that underpins the program</w:t>
      </w:r>
      <w:r w:rsidR="000C6850" w:rsidRPr="00A07D1F">
        <w:rPr>
          <w:rFonts w:ascii="Liberation Serif" w:hAnsi="Liberation Serif"/>
          <w:sz w:val="24"/>
          <w:szCs w:val="24"/>
          <w:lang w:val="en-US"/>
        </w:rPr>
        <w:t>:</w:t>
      </w:r>
    </w:p>
    <w:p w14:paraId="134D9F2C" w14:textId="59CBB2B8" w:rsidR="00A07D1F" w:rsidRPr="00A07D1F" w:rsidRDefault="00A07D1F" w:rsidP="00A07D1F">
      <w:pPr>
        <w:ind w:left="2268"/>
        <w:jc w:val="both"/>
        <w:rPr>
          <w:rFonts w:ascii="Liberation Serif" w:hAnsi="Liberation Serif"/>
          <w:sz w:val="22"/>
          <w:szCs w:val="22"/>
          <w:lang w:val="en-US"/>
        </w:rPr>
      </w:pPr>
      <w:r w:rsidRPr="00A07D1F">
        <w:rPr>
          <w:rFonts w:ascii="Liberation Serif" w:hAnsi="Liberation Serif"/>
          <w:sz w:val="22"/>
          <w:szCs w:val="22"/>
          <w:lang w:val="en-US"/>
        </w:rPr>
        <w:t>The format of the Program allows public resources to continue being allocated to private institutions, which implies, in line with the theses advocating for a reduced direct state presence in the social sector, a lack of commitment to consolidating Youth and Adult Education (EJA) within public education systems. Furthermore, it disconnects literacy actions from Youth and Adult Education, as there are no public policies ensuring effective coordination</w:t>
      </w:r>
      <w:r>
        <w:rPr>
          <w:rFonts w:ascii="Liberation Serif" w:hAnsi="Liberation Serif"/>
          <w:sz w:val="22"/>
          <w:szCs w:val="22"/>
          <w:lang w:val="en-US"/>
        </w:rPr>
        <w:t xml:space="preserve"> between the mobilization phase - represented by literacy - </w:t>
      </w:r>
      <w:r w:rsidRPr="00A07D1F">
        <w:rPr>
          <w:rFonts w:ascii="Liberation Serif" w:hAnsi="Liberation Serif"/>
          <w:sz w:val="22"/>
          <w:szCs w:val="22"/>
          <w:lang w:val="en-US"/>
        </w:rPr>
        <w:t>and the continuity phase, which should guarantee universal access for youth and adults to Elementary and High School in the EJA modality.</w:t>
      </w:r>
    </w:p>
    <w:p w14:paraId="23E02491" w14:textId="77777777" w:rsidR="00A07D1F" w:rsidRPr="00A07D1F" w:rsidRDefault="00A07D1F" w:rsidP="00A07D1F">
      <w:pPr>
        <w:ind w:left="2268"/>
        <w:jc w:val="both"/>
        <w:rPr>
          <w:rFonts w:ascii="Liberation Serif" w:hAnsi="Liberation Serif"/>
          <w:sz w:val="22"/>
          <w:szCs w:val="22"/>
          <w:lang w:val="en-US"/>
        </w:rPr>
      </w:pPr>
      <w:r w:rsidRPr="00A07D1F">
        <w:rPr>
          <w:rFonts w:ascii="Liberation Serif" w:hAnsi="Liberation Serif"/>
          <w:sz w:val="22"/>
          <w:szCs w:val="22"/>
          <w:lang w:val="en-US"/>
        </w:rPr>
        <w:t>Additionally, it is important to note that the literacy actions encompassed by the Program, being fragmented, overlapping, and heterogeneous, reinforce a set of practices that align with the characteristics of various forms of precarization to which literacy educators and students are generally subjected</w:t>
      </w:r>
    </w:p>
    <w:p w14:paraId="0B8EE509" w14:textId="68E79063" w:rsidR="000C6850" w:rsidRPr="00804042" w:rsidRDefault="00A07D1F" w:rsidP="00A07D1F">
      <w:pPr>
        <w:ind w:left="2268"/>
        <w:jc w:val="both"/>
        <w:rPr>
          <w:rFonts w:ascii="Liberation Serif" w:hAnsi="Liberation Serif" w:cs="Microsoft Tai Le"/>
          <w:color w:val="00B0F0"/>
          <w:sz w:val="22"/>
          <w:szCs w:val="22"/>
          <w:lang w:val="en-US"/>
        </w:rPr>
      </w:pPr>
      <w:r w:rsidRPr="00A07D1F">
        <w:rPr>
          <w:rFonts w:ascii="Liberation Serif" w:hAnsi="Liberation Serif"/>
          <w:sz w:val="22"/>
          <w:szCs w:val="22"/>
          <w:lang w:val="en-US"/>
        </w:rPr>
        <w:t xml:space="preserve"> </w:t>
      </w:r>
      <w:r w:rsidR="000C6850" w:rsidRPr="00804042">
        <w:rPr>
          <w:rFonts w:ascii="Liberation Serif" w:hAnsi="Liberation Serif" w:cs="Microsoft Tai Le"/>
          <w:sz w:val="22"/>
          <w:szCs w:val="22"/>
          <w:lang w:val="en-US"/>
        </w:rPr>
        <w:t>(RUMMERT, 2007, p. 36)</w:t>
      </w:r>
      <w:r w:rsidR="002C5CAB" w:rsidRPr="00804042">
        <w:rPr>
          <w:rFonts w:ascii="Liberation Serif" w:hAnsi="Liberation Serif" w:cs="Microsoft Tai Le"/>
          <w:color w:val="00B0F0"/>
          <w:sz w:val="22"/>
          <w:szCs w:val="22"/>
          <w:lang w:val="en-US"/>
        </w:rPr>
        <w:t>.</w:t>
      </w:r>
    </w:p>
    <w:p w14:paraId="4CA1CFCD" w14:textId="77777777" w:rsidR="00804042" w:rsidRPr="00804042" w:rsidRDefault="00804042" w:rsidP="00804042">
      <w:pPr>
        <w:autoSpaceDE w:val="0"/>
        <w:autoSpaceDN w:val="0"/>
        <w:adjustRightInd w:val="0"/>
        <w:spacing w:line="360" w:lineRule="auto"/>
        <w:ind w:firstLine="567"/>
        <w:jc w:val="both"/>
        <w:rPr>
          <w:rFonts w:ascii="Liberation Serif" w:hAnsi="Liberation Serif" w:cs="Microsoft Tai Le"/>
          <w:sz w:val="24"/>
          <w:szCs w:val="24"/>
          <w:lang w:val="en-US"/>
        </w:rPr>
      </w:pPr>
      <w:r w:rsidRPr="00804042">
        <w:rPr>
          <w:rFonts w:ascii="Liberation Serif" w:hAnsi="Liberation Serif" w:cs="Microsoft Tai Le"/>
          <w:sz w:val="24"/>
          <w:szCs w:val="24"/>
          <w:lang w:val="en-US"/>
        </w:rPr>
        <w:t>The aforementioned author emphasizes that the Brasil Alfabetizado Program (PBA) took on the character of a "campaign" due to its difficulties in appropriating "the socioeconomic and cultural context of working-class youth and adults and recognizing the decisive nature of the expansion of increasingly precarious processes of existence" (Idem, p. 37). A similar situation occurred concerning the policies for vocational training within EJA.</w:t>
      </w:r>
    </w:p>
    <w:p w14:paraId="72C194E2" w14:textId="0E289576" w:rsidR="000C6850" w:rsidRPr="00804042" w:rsidRDefault="00804042" w:rsidP="00804042">
      <w:pPr>
        <w:autoSpaceDE w:val="0"/>
        <w:autoSpaceDN w:val="0"/>
        <w:adjustRightInd w:val="0"/>
        <w:spacing w:line="360" w:lineRule="auto"/>
        <w:ind w:firstLine="567"/>
        <w:jc w:val="both"/>
        <w:rPr>
          <w:rFonts w:ascii="Liberation Serif" w:hAnsi="Liberation Serif" w:cs="Microsoft Tai Le"/>
          <w:sz w:val="24"/>
          <w:szCs w:val="24"/>
          <w:lang w:val="en-US"/>
        </w:rPr>
      </w:pPr>
      <w:r w:rsidRPr="00804042">
        <w:rPr>
          <w:rFonts w:ascii="Liberation Serif" w:hAnsi="Liberation Serif" w:cs="Microsoft Tai Le"/>
          <w:sz w:val="24"/>
          <w:szCs w:val="24"/>
          <w:lang w:val="en-US"/>
        </w:rPr>
        <w:t xml:space="preserve">The School Factory Project, the National Youth Inclusion Program: Education, Qualification, and Community Action (PROJOVEM), the National Integration Program of Vocational Education with Basic Education in the Youth and Adult Education Modality (PROEJA), and the National Program for Access to Technical Education and Employment (PRONATEC) constituted a set of political actions aimed at vocational training for undereducated working youth and adults, where the </w:t>
      </w:r>
      <w:r w:rsidRPr="00804042">
        <w:rPr>
          <w:rFonts w:ascii="Liberation Serif" w:hAnsi="Liberation Serif" w:cs="Microsoft Tai Le"/>
          <w:sz w:val="24"/>
          <w:szCs w:val="24"/>
          <w:lang w:val="en-US"/>
        </w:rPr>
        <w:lastRenderedPageBreak/>
        <w:t>marks of precarization were evident. These marks can be analyzed through three interrelated axes: the increase in education levels, the instrumentalization of training, and the valorization of privatism</w:t>
      </w:r>
      <w:r w:rsidR="000C6850" w:rsidRPr="00804042">
        <w:rPr>
          <w:rFonts w:ascii="Liberation Serif" w:hAnsi="Liberation Serif"/>
          <w:sz w:val="24"/>
          <w:szCs w:val="24"/>
          <w:lang w:val="en-US"/>
        </w:rPr>
        <w:t>.</w:t>
      </w:r>
    </w:p>
    <w:p w14:paraId="0AAD431D" w14:textId="21477468"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 xml:space="preserve">The </w:t>
      </w:r>
      <w:r w:rsidRPr="00BF17BD">
        <w:rPr>
          <w:rFonts w:ascii="Liberation Serif" w:hAnsi="Liberation Serif"/>
          <w:b/>
          <w:sz w:val="24"/>
          <w:szCs w:val="24"/>
          <w:lang w:val="en-US"/>
        </w:rPr>
        <w:t>increase in education</w:t>
      </w:r>
      <w:r w:rsidRPr="00BF17BD">
        <w:rPr>
          <w:rFonts w:ascii="Liberation Serif" w:hAnsi="Liberation Serif"/>
          <w:sz w:val="24"/>
          <w:szCs w:val="24"/>
          <w:lang w:val="en-US"/>
        </w:rPr>
        <w:t xml:space="preserve"> levels became a central axis of these programs by prioritizing access to education for new generations of workers. Educating the working youth meant producing changes within the school and identifying the profile of students, enhancing the inclusion of groups considered to be in social vulnerability. Generally encompassing youth aged 15 to 24 whose educational trajectories were marked by repetition and dropout, these programs aimed to guide youth toward civic </w:t>
      </w:r>
      <w:r>
        <w:rPr>
          <w:rFonts w:ascii="Liberation Serif" w:hAnsi="Liberation Serif"/>
          <w:sz w:val="24"/>
          <w:szCs w:val="24"/>
          <w:lang w:val="en-US"/>
        </w:rPr>
        <w:t>inclusion to alleviate poverty.</w:t>
      </w:r>
    </w:p>
    <w:p w14:paraId="5E8E3084" w14:textId="33F46A6E" w:rsidR="000C6850"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Achieving this goal required changes within the school itself. Silva (2015) exemplifies this process in her analysis of PROEJA, which identified educational institutions as the primary responsible parties for maintaining illiteracy and the low educational levels of the Brazilian population. Highlighting the need for democratization of the school to overcome the serious issues that compromised the civic inclusion of poor and working youth, the author notes that PROEJA conducted a diagnosis without considering the economic, ideopolitical, and social conditions that determine the schooling process. By isolating these conditions, PROEJA ultimately ends up blaming educators and students for the social contradictions that permeate education in schools</w:t>
      </w:r>
      <w:r w:rsidR="000C6850" w:rsidRPr="00BF17BD">
        <w:rPr>
          <w:rFonts w:ascii="Liberation Serif" w:hAnsi="Liberation Serif"/>
          <w:sz w:val="24"/>
          <w:szCs w:val="24"/>
          <w:lang w:val="en-US"/>
        </w:rPr>
        <w:t>r.</w:t>
      </w:r>
    </w:p>
    <w:p w14:paraId="25486CF6" w14:textId="77777777"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PROJOVEM also stands out as a program aimed at increasing the education levels of poor working students. Targeted at young people aged 18 to 24 with educational backgrounds between the 5th and 9th grades, this program intends to reach the most vulnerable groups who are least supported by educational policies (BRAZIL, 2005).</w:t>
      </w:r>
    </w:p>
    <w:p w14:paraId="6688E857" w14:textId="77777777"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Operating in metropolitan regions of the country with high concentrations of young people deprived of fundamental rights, Rummert, Bilio, and Gaspar (2017) emphasize that PROJOVEM integrates the completion of elementary education, vocational training, and capacity building for community action. Its intention is to promote civic inclusion for these groups based on the appropriation of scientific and technological knowledge, active participation in their communities, and accountability regarding the problems and needs of the country.</w:t>
      </w:r>
    </w:p>
    <w:p w14:paraId="57B69647" w14:textId="42DC6BEA" w:rsidR="000C6850"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Despite the intention to achieve increased education for young people who are denied the right to education, living in extreme poverty, and subjected to social violence, the authors point out that PROJOVEM perceives the situation of youth as a cause, rather than a consequence, of the social issue. Thus, it reinforces the “association, in social imagination, of ‘poor’ youth with so-called ‘dangerous’ classes” (RUMMERT, 2007, p. 42). The stigmatizing connotation assumed by the propositions and actions related to vocational training for youth further reinforced the elevation of education levels from the perspective historically shaped by the Brazilian bourgeoisie for EJA</w:t>
      </w:r>
      <w:r w:rsidR="000C6850" w:rsidRPr="00BF17BD">
        <w:rPr>
          <w:rFonts w:ascii="Liberation Serif" w:hAnsi="Liberation Serif"/>
          <w:sz w:val="24"/>
          <w:szCs w:val="24"/>
          <w:lang w:val="en-US"/>
        </w:rPr>
        <w:t>.</w:t>
      </w:r>
    </w:p>
    <w:p w14:paraId="6EB1822C" w14:textId="77777777"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lastRenderedPageBreak/>
        <w:t>Reinforcing the precarious, palliative, and fragmented condition of vocational training, various programs were created targeting different youth demographics. Building on the experience of PROJOVEM, the Integrated PROJOVEM was structured in 2007, encompassing the following modalities: Projovem Urbano (Urban Projovem), Projovem Adolescente (Adolescent Projovem), Projovem Campo (Field Projovem), and Projovem Trabalhador (Worker Projovem). This fragmentation reveals an emphasis on professional insertion based on the worker's effort to adapt to the constant scientific, technological, and informational changes demanded by capitalism during a period of productive restructuring.</w:t>
      </w:r>
    </w:p>
    <w:p w14:paraId="06B0EC5E" w14:textId="15C8CFE5" w:rsidR="000C6850"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Rummert, Bilio, and Gaspar (2017) demonstrate that this fragmentation entrenched a precarious training system for precarious work. This is because the creation of emergency programs like Projovem Urbano was based on promises protected by long-standing practices of subalternization of the Brazilian working class. Among these practices, they highlight the short duration of training, the reduction of the curriculum, the weak connection to professionalization, the parallelism with the pedagogical processes of the school, and the emphasis placed on certification</w:t>
      </w:r>
      <w:r w:rsidR="000C6850" w:rsidRPr="00BF17BD">
        <w:rPr>
          <w:rFonts w:ascii="Liberation Serif" w:hAnsi="Liberation Serif"/>
          <w:sz w:val="24"/>
          <w:szCs w:val="24"/>
          <w:lang w:val="en-US"/>
        </w:rPr>
        <w:t xml:space="preserve">. </w:t>
      </w:r>
    </w:p>
    <w:p w14:paraId="4C68961C" w14:textId="49708C18" w:rsidR="000C6850"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The superficial nature of precarious training for precarious work requires, as the authors mentioned above indicate, that students submit to national certification exams for skills and competencies related to available jobs. However, this restricts the necessary vocational qualification according to the</w:t>
      </w:r>
      <w:r w:rsidR="009F7CA5">
        <w:rPr>
          <w:rFonts w:ascii="Liberation Serif" w:hAnsi="Liberation Serif"/>
          <w:sz w:val="24"/>
          <w:szCs w:val="24"/>
          <w:lang w:val="en-US"/>
        </w:rPr>
        <w:t xml:space="preserve"> objectives constructed by EJA </w:t>
      </w:r>
      <w:r w:rsidRPr="00BF17BD">
        <w:rPr>
          <w:rFonts w:ascii="Liberation Serif" w:hAnsi="Liberation Serif"/>
          <w:sz w:val="24"/>
          <w:szCs w:val="24"/>
          <w:lang w:val="en-US"/>
        </w:rPr>
        <w:t>based on the historical struggles of the working class. It minimizes the time and space for professional qualification, generating situatio</w:t>
      </w:r>
      <w:r>
        <w:rPr>
          <w:rFonts w:ascii="Liberation Serif" w:hAnsi="Liberation Serif"/>
          <w:sz w:val="24"/>
          <w:szCs w:val="24"/>
          <w:lang w:val="en-US"/>
        </w:rPr>
        <w:t xml:space="preserve">ns that lead to school dropout. </w:t>
      </w:r>
      <w:r w:rsidRPr="00BF17BD">
        <w:rPr>
          <w:rFonts w:ascii="Liberation Serif" w:hAnsi="Liberation Serif"/>
          <w:sz w:val="24"/>
          <w:szCs w:val="24"/>
          <w:lang w:val="en-US"/>
        </w:rPr>
        <w:t>In the context of the capitalist crisis that began in 2007, programs such as PROEJA and Projovem framed the elevation of education as</w:t>
      </w:r>
      <w:r w:rsidR="000C6850" w:rsidRPr="00BF17BD">
        <w:rPr>
          <w:rFonts w:ascii="Liberation Serif" w:hAnsi="Liberation Serif"/>
          <w:sz w:val="24"/>
          <w:szCs w:val="24"/>
          <w:lang w:val="en-US"/>
        </w:rPr>
        <w:t>:</w:t>
      </w:r>
    </w:p>
    <w:p w14:paraId="21232051" w14:textId="5EC9B476" w:rsidR="00BF17BD" w:rsidRPr="00BF17BD" w:rsidRDefault="00BF17BD" w:rsidP="00BF17BD">
      <w:pPr>
        <w:ind w:left="2268"/>
        <w:jc w:val="both"/>
        <w:rPr>
          <w:rFonts w:ascii="Liberation Serif" w:hAnsi="Liberation Serif"/>
          <w:sz w:val="22"/>
          <w:szCs w:val="22"/>
          <w:lang w:val="en-US"/>
        </w:rPr>
      </w:pPr>
      <w:r w:rsidRPr="00BF17BD">
        <w:rPr>
          <w:rFonts w:ascii="Liberation Serif" w:hAnsi="Liberation Serif"/>
          <w:sz w:val="22"/>
          <w:szCs w:val="22"/>
          <w:lang w:val="en-US"/>
        </w:rPr>
        <w:t>an amalgam of social qualification understood as community action, learning fragmented aspects of work in the productive space as scientific-technological knowledge, mastery of certain tools of informatics and languages as intellectual work capacity, and discussion of some dimensions of citizenship as social intervention capacity, leading to the understanding that the results of this set constitute education for social inclusion.</w:t>
      </w:r>
      <w:r>
        <w:rPr>
          <w:rFonts w:ascii="Liberation Serif" w:hAnsi="Liberation Serif"/>
          <w:sz w:val="22"/>
          <w:szCs w:val="22"/>
          <w:lang w:val="en-US"/>
        </w:rPr>
        <w:t xml:space="preserve"> </w:t>
      </w:r>
      <w:r w:rsidRPr="00BF17BD">
        <w:rPr>
          <w:rFonts w:ascii="Liberation Serif" w:hAnsi="Liberation Serif"/>
          <w:sz w:val="22"/>
          <w:szCs w:val="22"/>
          <w:lang w:val="en-US"/>
        </w:rPr>
        <w:t>Although these elements are fundamental for the education of those who live from labor, the superficial and streamlined manner in w</w:t>
      </w:r>
      <w:r>
        <w:rPr>
          <w:rFonts w:ascii="Liberation Serif" w:hAnsi="Liberation Serif"/>
          <w:sz w:val="22"/>
          <w:szCs w:val="22"/>
          <w:lang w:val="en-US"/>
        </w:rPr>
        <w:t xml:space="preserve">hich they are typically offered </w:t>
      </w:r>
      <w:r w:rsidRPr="00BF17BD">
        <w:rPr>
          <w:rFonts w:ascii="Liberation Serif" w:hAnsi="Liberation Serif"/>
          <w:sz w:val="22"/>
          <w:szCs w:val="22"/>
          <w:lang w:val="en-US"/>
        </w:rPr>
        <w:t>often disconnect</w:t>
      </w:r>
      <w:r>
        <w:rPr>
          <w:rFonts w:ascii="Liberation Serif" w:hAnsi="Liberation Serif"/>
          <w:sz w:val="22"/>
          <w:szCs w:val="22"/>
          <w:lang w:val="en-US"/>
        </w:rPr>
        <w:t xml:space="preserve">ed from quality basic education </w:t>
      </w:r>
      <w:r w:rsidRPr="00BF17BD">
        <w:rPr>
          <w:rFonts w:ascii="Liberation Serif" w:hAnsi="Liberation Serif"/>
          <w:sz w:val="22"/>
          <w:szCs w:val="22"/>
          <w:lang w:val="en-US"/>
        </w:rPr>
        <w:t>imparts a formalistic and demagogic character to the proposals, reinforcing the predatory consumption of the workforce throughout the productive chains</w:t>
      </w:r>
    </w:p>
    <w:p w14:paraId="63538058" w14:textId="5B9B849D" w:rsidR="000C6850" w:rsidRPr="00BF17BD" w:rsidRDefault="00BF17BD" w:rsidP="00BF17BD">
      <w:pPr>
        <w:ind w:left="2268"/>
        <w:jc w:val="both"/>
        <w:rPr>
          <w:rFonts w:ascii="Liberation Serif" w:hAnsi="Liberation Serif"/>
          <w:color w:val="00B0F0"/>
          <w:sz w:val="22"/>
          <w:szCs w:val="22"/>
          <w:lang w:val="en-US"/>
        </w:rPr>
      </w:pPr>
      <w:r w:rsidRPr="00BF17BD">
        <w:rPr>
          <w:rFonts w:ascii="Liberation Serif" w:hAnsi="Liberation Serif"/>
          <w:sz w:val="22"/>
          <w:szCs w:val="22"/>
          <w:lang w:val="en-US"/>
        </w:rPr>
        <w:t xml:space="preserve"> </w:t>
      </w:r>
      <w:r w:rsidR="000C6850" w:rsidRPr="00BF17BD">
        <w:rPr>
          <w:rFonts w:ascii="Liberation Serif" w:hAnsi="Liberation Serif"/>
          <w:sz w:val="22"/>
          <w:szCs w:val="22"/>
          <w:lang w:val="en-US"/>
        </w:rPr>
        <w:t>(KUENZER, 2005, p. 18)</w:t>
      </w:r>
      <w:r w:rsidR="002C5CAB" w:rsidRPr="00BF17BD">
        <w:rPr>
          <w:rFonts w:ascii="Liberation Serif" w:hAnsi="Liberation Serif"/>
          <w:color w:val="00B0F0"/>
          <w:sz w:val="22"/>
          <w:szCs w:val="22"/>
          <w:lang w:val="en-US"/>
        </w:rPr>
        <w:t>.</w:t>
      </w:r>
    </w:p>
    <w:p w14:paraId="3E855790" w14:textId="77777777" w:rsidR="009A65A5" w:rsidRPr="00BF17BD" w:rsidRDefault="009A65A5" w:rsidP="004D0ED6">
      <w:pPr>
        <w:spacing w:line="360" w:lineRule="auto"/>
        <w:ind w:firstLine="567"/>
        <w:jc w:val="both"/>
        <w:rPr>
          <w:rFonts w:ascii="Liberation Serif" w:hAnsi="Liberation Serif"/>
          <w:sz w:val="24"/>
          <w:szCs w:val="24"/>
          <w:lang w:val="en-US"/>
        </w:rPr>
      </w:pPr>
    </w:p>
    <w:p w14:paraId="156F9773" w14:textId="3C15D951" w:rsidR="000C6850" w:rsidRPr="00BF17BD" w:rsidRDefault="00BF17BD" w:rsidP="004D0ED6">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 xml:space="preserve">The instrumentalization of training points to the adaptation of workers to the demands that capitalist sociability required from EJA in terms of integration into the scientific and technological level of the current phase of capital. From the onset of schooling, the Brazilian bourgeoisie intended </w:t>
      </w:r>
      <w:r w:rsidRPr="00BF17BD">
        <w:rPr>
          <w:rFonts w:ascii="Liberation Serif" w:hAnsi="Liberation Serif"/>
          <w:sz w:val="24"/>
          <w:szCs w:val="24"/>
          <w:lang w:val="en-US"/>
        </w:rPr>
        <w:lastRenderedPageBreak/>
        <w:t>for EJA to articulate the discourse of overcoming social debt, with efforts to combat illiteracy and proposals aimed at alleviating poverty, which sought productive inclusion through a notion of citizenship linked to relationships of coexistence, solidarity, and respect</w:t>
      </w:r>
      <w:r w:rsidR="000C6850" w:rsidRPr="00BF17BD">
        <w:rPr>
          <w:rFonts w:ascii="Liberation Serif" w:hAnsi="Liberation Serif"/>
          <w:sz w:val="24"/>
          <w:szCs w:val="24"/>
          <w:lang w:val="en-US"/>
        </w:rPr>
        <w:t>.</w:t>
      </w:r>
    </w:p>
    <w:p w14:paraId="4CF63AAA" w14:textId="7DBB4C9B"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The formulations by Rummert (2007) and Bomfim and Rummert (2017) contribute to highlighting that programs such as PROJOVEM, PROEJA, and PRONATEC integrated EJA with vocational training, consolidating the education of young and adult individuals with little or no schooling to live in a society marked by structural unemployment. Despite the approach to a comprehensive concept of worker training, the reference to market dynamics serves as a conditioning factor for young and adult workers to adapt to the opportunities pres</w:t>
      </w:r>
      <w:r>
        <w:rPr>
          <w:rFonts w:ascii="Liberation Serif" w:hAnsi="Liberation Serif"/>
          <w:sz w:val="24"/>
          <w:szCs w:val="24"/>
          <w:lang w:val="en-US"/>
        </w:rPr>
        <w:t>ented by the capitalist crisis.</w:t>
      </w:r>
    </w:p>
    <w:p w14:paraId="26EE9494" w14:textId="4E796D0A"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Established within the context of the neoliberal hegemony of State Reform, the merely instrumental, adaptive, and reductionist nature of vocational training is evident when PROJOVEM defines that understanding social processes and the scientific and technological principles that underpin contemporary life (BRAZIL, 2005) is to be achieved in just one year for completing elementary education and vocational training. The facilitation of short courses aimed at simple work, with no connection to basic education, is also eviden</w:t>
      </w:r>
      <w:r>
        <w:rPr>
          <w:rFonts w:ascii="Liberation Serif" w:hAnsi="Liberation Serif"/>
          <w:sz w:val="24"/>
          <w:szCs w:val="24"/>
          <w:lang w:val="en-US"/>
        </w:rPr>
        <w:t>t in PROEJA and PRONATEC.</w:t>
      </w:r>
    </w:p>
    <w:p w14:paraId="4A7DCAFB" w14:textId="272CB431"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Regarding PROEJA, the occupational areas available through the Ministry of Labor and Employment offer training with low complexity in the activities to be performed by future professionals, disconnected from the knowledge provided in basic education (SILVA, 2015). Ventura, Lessa, and Souza (2017) corroborate thi</w:t>
      </w:r>
      <w:r>
        <w:rPr>
          <w:rFonts w:ascii="Liberation Serif" w:hAnsi="Liberation Serif"/>
          <w:sz w:val="24"/>
          <w:szCs w:val="24"/>
          <w:lang w:val="en-US"/>
        </w:rPr>
        <w:t>s analysis concerning PRONATEC.</w:t>
      </w:r>
    </w:p>
    <w:p w14:paraId="409216B9" w14:textId="790974E5" w:rsidR="000C6850" w:rsidRPr="00BF17BD" w:rsidRDefault="00BF17BD" w:rsidP="00BF17BD">
      <w:pPr>
        <w:spacing w:line="360" w:lineRule="auto"/>
        <w:ind w:firstLine="567"/>
        <w:jc w:val="both"/>
        <w:rPr>
          <w:rFonts w:ascii="Liberation Serif" w:hAnsi="Liberation Serif"/>
          <w:color w:val="00B0F0"/>
          <w:sz w:val="24"/>
          <w:szCs w:val="24"/>
          <w:lang w:val="en-US"/>
        </w:rPr>
      </w:pPr>
      <w:r w:rsidRPr="00BF17BD">
        <w:rPr>
          <w:rFonts w:ascii="Liberation Serif" w:hAnsi="Liberation Serif"/>
          <w:sz w:val="24"/>
          <w:szCs w:val="24"/>
          <w:lang w:val="en-US"/>
        </w:rPr>
        <w:t>Although they emphasize the increase in workload in this program with courses of up to 400 hours, which is higher than other vocational qualification proposals, the authors note that the majority of enrollments were directed toward low-complexity service sectors such as low-voltage electrician, masonry worker, and receptionist. These roles required either incomplete elementary or secondary education, revealing the dominant sectors' understanding that the schooling of young and adult workers was based on "the prescription of competencies and behaviors necessary to meet the immediate demands of the flexible accumulation mode of capital</w:t>
      </w:r>
      <w:r>
        <w:rPr>
          <w:rFonts w:ascii="Liberation Serif" w:hAnsi="Liberation Serif"/>
          <w:sz w:val="24"/>
          <w:szCs w:val="24"/>
          <w:lang w:val="en-US"/>
        </w:rPr>
        <w:t xml:space="preserve">” </w:t>
      </w:r>
      <w:r w:rsidR="000C6850" w:rsidRPr="00BF17BD">
        <w:rPr>
          <w:rFonts w:ascii="Liberation Serif" w:hAnsi="Liberation Serif"/>
          <w:sz w:val="24"/>
          <w:szCs w:val="24"/>
          <w:lang w:val="en-US"/>
        </w:rPr>
        <w:t>(VENTURA, LESSA e SOUZ</w:t>
      </w:r>
      <w:r w:rsidR="005E2F54" w:rsidRPr="00BF17BD">
        <w:rPr>
          <w:rFonts w:ascii="Liberation Serif" w:hAnsi="Liberation Serif"/>
          <w:sz w:val="24"/>
          <w:szCs w:val="24"/>
          <w:lang w:val="en-US"/>
        </w:rPr>
        <w:t>A</w:t>
      </w:r>
      <w:r w:rsidR="000C6850" w:rsidRPr="00BF17BD">
        <w:rPr>
          <w:rFonts w:ascii="Liberation Serif" w:hAnsi="Liberation Serif"/>
          <w:sz w:val="24"/>
          <w:szCs w:val="24"/>
          <w:lang w:val="en-US"/>
        </w:rPr>
        <w:t>, 2017, p. 138)</w:t>
      </w:r>
      <w:r w:rsidR="003E23F0" w:rsidRPr="00BF17BD">
        <w:rPr>
          <w:rFonts w:ascii="Liberation Serif" w:hAnsi="Liberation Serif"/>
          <w:color w:val="00B0F0"/>
          <w:sz w:val="24"/>
          <w:szCs w:val="24"/>
          <w:lang w:val="en-US"/>
        </w:rPr>
        <w:t>.</w:t>
      </w:r>
    </w:p>
    <w:p w14:paraId="3F7E8881" w14:textId="3E52571F" w:rsidR="000C6850" w:rsidRPr="00BF17BD" w:rsidRDefault="00BF17BD" w:rsidP="004D0ED6">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 xml:space="preserve">The </w:t>
      </w:r>
      <w:r w:rsidRPr="00BF17BD">
        <w:rPr>
          <w:rFonts w:ascii="Liberation Serif" w:hAnsi="Liberation Serif"/>
          <w:b/>
          <w:sz w:val="24"/>
          <w:szCs w:val="24"/>
          <w:lang w:val="en-US"/>
        </w:rPr>
        <w:t>valorization of privatism</w:t>
      </w:r>
      <w:r w:rsidRPr="00BF17BD">
        <w:rPr>
          <w:rFonts w:ascii="Liberation Serif" w:hAnsi="Liberation Serif"/>
          <w:sz w:val="24"/>
          <w:szCs w:val="24"/>
          <w:lang w:val="en-US"/>
        </w:rPr>
        <w:t xml:space="preserve"> constitutes an important point of reference in the vocationa</w:t>
      </w:r>
      <w:r w:rsidR="009F7CA5">
        <w:rPr>
          <w:rFonts w:ascii="Liberation Serif" w:hAnsi="Liberation Serif"/>
          <w:sz w:val="24"/>
          <w:szCs w:val="24"/>
          <w:lang w:val="en-US"/>
        </w:rPr>
        <w:t xml:space="preserve">l training policies within EJA </w:t>
      </w:r>
      <w:r w:rsidRPr="00BF17BD">
        <w:rPr>
          <w:rFonts w:ascii="Liberation Serif" w:hAnsi="Liberation Serif"/>
          <w:sz w:val="24"/>
          <w:szCs w:val="24"/>
          <w:lang w:val="en-US"/>
        </w:rPr>
        <w:t>This approach unfolds with the implication of transferring public resources to the education business sector, but it also involves removing the public character from the debate regarding the training of workers. The conclusion is that the training of young and adult workers with little schooling is restricted to the expectations, proposals, and projects of the business sector concerning vocational qualification</w:t>
      </w:r>
      <w:r w:rsidR="000C6850" w:rsidRPr="00BF17BD">
        <w:rPr>
          <w:rFonts w:ascii="Liberation Serif" w:hAnsi="Liberation Serif"/>
          <w:sz w:val="24"/>
          <w:szCs w:val="24"/>
          <w:lang w:val="en-US"/>
        </w:rPr>
        <w:t>.</w:t>
      </w:r>
    </w:p>
    <w:p w14:paraId="5C1F5FF7" w14:textId="77777777"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lastRenderedPageBreak/>
        <w:t>Ventura, Lessa, and Souza (2017) argue that the privatizing nature of PRONATEC is evident in the significant transfer of public resources, particularly to the Sistema S and other private institutions. With the predominance of privatizing partnerships within EJA in conjunction with vocational training, the construction of education based on the intellectual, moral, and political autonomy of workers has been shaped by the interests, demands, and projects of businesses.</w:t>
      </w:r>
    </w:p>
    <w:p w14:paraId="3AB15D80" w14:textId="77777777"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Melo and Moura (2016) highlight that 73% of PRONATEC's resources were allocated to private capital, while only 27% were directed to public institutions between 2011 and 2014. Based on data from the 2013 Management Report of the Secretariat for Professional and Technological Education of the Ministry of Education (SETEC/MEC), the authors found that the majority of scholarships financed by PRONATEC were in Initial and Continuing Education (FIC) courses offered by private initiatives (80%), primarily through the Sistema S (70%).</w:t>
      </w:r>
    </w:p>
    <w:p w14:paraId="19DFB9CC" w14:textId="7770B8C0" w:rsidR="000C6850"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A similar situation can be observed in PROEJA. In this program, private institutions belonging to Sistema S were listed as preferred partners. According to Decree No. 5,840/2006, PROEJA defined the following proponents in the course offerings: federal, state, and municipal public educational institutions, national private entities providing social services, learning, and vocational training linked to the union system, and entities associated with the National Service of Learning (SENAI), the National Service of Commercial Learning (SENAC), the Social Service of Industry (SESI), the National Rural Learning Service (SENAR), and the Brazilian Support Service for Micro and Small Enterprise</w:t>
      </w:r>
      <w:r>
        <w:rPr>
          <w:rFonts w:ascii="Liberation Serif" w:hAnsi="Liberation Serif"/>
          <w:sz w:val="24"/>
          <w:szCs w:val="24"/>
          <w:lang w:val="en-US"/>
        </w:rPr>
        <w:t xml:space="preserve"> </w:t>
      </w:r>
      <w:r w:rsidR="000C6850" w:rsidRPr="00BF17BD">
        <w:rPr>
          <w:rFonts w:ascii="Liberation Serif" w:hAnsi="Liberation Serif"/>
          <w:sz w:val="24"/>
          <w:szCs w:val="24"/>
          <w:lang w:val="en-US"/>
        </w:rPr>
        <w:t xml:space="preserve">(SEBRAE). </w:t>
      </w:r>
    </w:p>
    <w:p w14:paraId="09BCFCAD" w14:textId="77777777" w:rsidR="00BF17BD"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Regarding PROEJA, the organizations mentioned above, as well as "any non-profit civil society organizations offering courses" (Brazil, 2007B, p. 58), can be classified as partner institutions. As Rummert (2007) points out, there is a strong intervention of Capital in the educational proposals for the working class presented by the Federal Government starting in 2007.</w:t>
      </w:r>
    </w:p>
    <w:p w14:paraId="6AF48B8A" w14:textId="70472105" w:rsidR="000C6850" w:rsidRPr="00BF17BD" w:rsidRDefault="00BF17BD" w:rsidP="00BF17BD">
      <w:pPr>
        <w:spacing w:line="360" w:lineRule="auto"/>
        <w:ind w:firstLine="567"/>
        <w:jc w:val="both"/>
        <w:rPr>
          <w:rFonts w:ascii="Liberation Serif" w:hAnsi="Liberation Serif"/>
          <w:sz w:val="24"/>
          <w:szCs w:val="24"/>
          <w:lang w:val="en-US"/>
        </w:rPr>
      </w:pPr>
      <w:r w:rsidRPr="00BF17BD">
        <w:rPr>
          <w:rFonts w:ascii="Liberation Serif" w:hAnsi="Liberation Serif"/>
          <w:sz w:val="24"/>
          <w:szCs w:val="24"/>
          <w:lang w:val="en-US"/>
        </w:rPr>
        <w:t>It was in the School Factory Project that the valorization of privatism took on a more significant ideological character in favor of business action. By emphasizing the social responsibility of companies in including low-income youth, the recognition of production as an educational space linked to the schooling of workers reinforces a supposed overcoming of class antagonisms. This overcoming, characterized by a rhetorically cooperative and supportive nature, aims to strengthen the ideopolitical arguments advocating for the humanization of capital in favor of the working class</w:t>
      </w:r>
      <w:r w:rsidR="000C6850" w:rsidRPr="00BF17BD">
        <w:rPr>
          <w:rFonts w:ascii="Liberation Serif" w:hAnsi="Liberation Serif"/>
          <w:sz w:val="24"/>
          <w:szCs w:val="24"/>
          <w:lang w:val="en-US"/>
        </w:rPr>
        <w:t xml:space="preserve">. </w:t>
      </w:r>
    </w:p>
    <w:p w14:paraId="429A1AE7" w14:textId="77777777" w:rsidR="000C6850" w:rsidRPr="00BF17BD" w:rsidRDefault="000C6850" w:rsidP="004D0ED6">
      <w:pPr>
        <w:spacing w:line="360" w:lineRule="auto"/>
        <w:ind w:firstLine="567"/>
        <w:jc w:val="both"/>
        <w:rPr>
          <w:rFonts w:ascii="Liberation Serif" w:hAnsi="Liberation Serif"/>
          <w:sz w:val="24"/>
          <w:szCs w:val="24"/>
          <w:lang w:val="en-US"/>
        </w:rPr>
      </w:pPr>
    </w:p>
    <w:p w14:paraId="2D06EDCE" w14:textId="50ACCE86" w:rsidR="000C6850" w:rsidRPr="004401A1" w:rsidRDefault="004401A1" w:rsidP="001F0E73">
      <w:pPr>
        <w:pStyle w:val="PargrafodaLista"/>
        <w:numPr>
          <w:ilvl w:val="0"/>
          <w:numId w:val="1"/>
        </w:numPr>
        <w:spacing w:after="0" w:line="240" w:lineRule="auto"/>
        <w:ind w:left="0" w:firstLine="0"/>
        <w:contextualSpacing w:val="0"/>
        <w:jc w:val="both"/>
        <w:rPr>
          <w:rFonts w:ascii="Liberation Serif" w:hAnsi="Liberation Serif"/>
          <w:b/>
          <w:sz w:val="28"/>
          <w:szCs w:val="28"/>
          <w:lang w:val="en-US"/>
        </w:rPr>
      </w:pPr>
      <w:r w:rsidRPr="004401A1">
        <w:rPr>
          <w:rFonts w:ascii="Liberation Serif" w:hAnsi="Liberation Serif"/>
          <w:b/>
          <w:sz w:val="28"/>
          <w:szCs w:val="28"/>
          <w:lang w:val="en-US"/>
        </w:rPr>
        <w:t xml:space="preserve">A Quantitative Approach to the Precarious Quality of Education for Working Youth and Adults </w:t>
      </w:r>
    </w:p>
    <w:p w14:paraId="49AEA84E" w14:textId="77777777" w:rsidR="00BB0FB5" w:rsidRPr="004401A1" w:rsidRDefault="00BB0FB5" w:rsidP="004D0ED6">
      <w:pPr>
        <w:spacing w:line="360" w:lineRule="auto"/>
        <w:ind w:firstLine="567"/>
        <w:jc w:val="both"/>
        <w:rPr>
          <w:rFonts w:ascii="Liberation Serif" w:hAnsi="Liberation Serif"/>
          <w:sz w:val="24"/>
          <w:szCs w:val="24"/>
          <w:lang w:val="en-US"/>
        </w:rPr>
      </w:pPr>
    </w:p>
    <w:p w14:paraId="41359A02"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lastRenderedPageBreak/>
        <w:t>In light of the considerations regarding the priorities and conceptions that shape policies for Youth and Adult Education (EJA), a picture can be presented of the schooling of workers in this modality of basic education. Based on statistical data collected from official sources such as the Statistical Synopses of Basic Education, School Censuses, and Functional Literacy Indicators, the aim is to verify how the trend of treating EJA as a supplementary, precarious, and reductionist education delineates itself within the framework of the capitalist crisis during the period from 2007 to 2015.</w:t>
      </w:r>
    </w:p>
    <w:p w14:paraId="4062181E"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From the Statistical Synopses of Basic Education produced by the National Institute for Educational Studies and Research Anísio Teixeira (INEP) between 2007 and 2015, there is a noticeable decline in the total number of enrollments in EJA. During this highlighted period, the total number of enrollments decreased from 5,034,606 to 3,491,869, representing a drop of 1,542,737, or more than 30%.</w:t>
      </w:r>
    </w:p>
    <w:p w14:paraId="0E440520"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In the case of EJA at the elementary level, the Statistical Synopses demonstrate that the decline exceeded 35%, falling from 3,415,188 in 2007 to 2,186,611 in 2015. Enrollments in EJA at the secondary level decreased by about 20%, from 1,619,418 in 2007 to 1,309,258 in 2015.</w:t>
      </w:r>
    </w:p>
    <w:p w14:paraId="5A3681E0" w14:textId="3CB6223F"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Using data from the 2010 School Census, Ribeiro, Catelli Jr., and Haddad (2015) highlighted that 65 million students aged 15 or older had incomplete elementary education, while 22 million were yet to complete secondary education. Of this population, only 2%, or 1.3 million, attended EJA at the elementary level, and approximately 1%, or 851,000, were in literacy classes. In terms of secondary education, the population attending EJA accounted for 7.2%, equivalent to 1.5 million students. This indicates that "the data show that the provision for the potential audience of EJA is minimal, and that even though part of the demand is being met by regular e</w:t>
      </w:r>
      <w:r>
        <w:rPr>
          <w:rFonts w:ascii="Liberation Serif" w:hAnsi="Liberation Serif"/>
          <w:sz w:val="24"/>
          <w:szCs w:val="24"/>
          <w:lang w:val="en-US"/>
        </w:rPr>
        <w:t xml:space="preserve">ducation, a significant portion - </w:t>
      </w:r>
      <w:r w:rsidRPr="004401A1">
        <w:rPr>
          <w:rFonts w:ascii="Liberation Serif" w:hAnsi="Liberation Serif"/>
          <w:sz w:val="24"/>
          <w:szCs w:val="24"/>
          <w:lang w:val="en-US"/>
        </w:rPr>
        <w:t>90.5% for elementary and 77.9% for</w:t>
      </w:r>
      <w:r>
        <w:rPr>
          <w:rFonts w:ascii="Liberation Serif" w:hAnsi="Liberation Serif"/>
          <w:sz w:val="24"/>
          <w:szCs w:val="24"/>
          <w:lang w:val="en-US"/>
        </w:rPr>
        <w:t xml:space="preserve"> secondary - is outside of school </w:t>
      </w:r>
      <w:r w:rsidRPr="004401A1">
        <w:rPr>
          <w:rFonts w:ascii="Liberation Serif" w:hAnsi="Liberation Serif"/>
          <w:sz w:val="24"/>
          <w:szCs w:val="24"/>
          <w:lang w:val="en-US"/>
        </w:rPr>
        <w:t>"</w:t>
      </w:r>
      <w:r w:rsidR="000C6850" w:rsidRPr="004401A1">
        <w:rPr>
          <w:rFonts w:ascii="Liberation Serif" w:hAnsi="Liberation Serif"/>
          <w:sz w:val="24"/>
          <w:szCs w:val="24"/>
          <w:lang w:val="en-US"/>
        </w:rPr>
        <w:t xml:space="preserve"> (RIBEIRO, CATELLI Jr. e HADDAD, 2015)</w:t>
      </w:r>
      <w:r w:rsidR="003E23F0" w:rsidRPr="004401A1">
        <w:rPr>
          <w:rFonts w:ascii="Liberation Serif" w:hAnsi="Liberation Serif"/>
          <w:color w:val="00B0F0"/>
          <w:sz w:val="24"/>
          <w:szCs w:val="24"/>
          <w:lang w:val="en-US"/>
        </w:rPr>
        <w:t>.</w:t>
      </w:r>
    </w:p>
    <w:p w14:paraId="7C8601AA" w14:textId="00E2BED9"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The authors also highlight the inadequacy between supply and demand in EJA (</w:t>
      </w:r>
      <w:r w:rsidR="009F7CA5">
        <w:rPr>
          <w:rFonts w:ascii="Liberation Serif" w:hAnsi="Liberation Serif"/>
          <w:sz w:val="24"/>
          <w:szCs w:val="24"/>
          <w:lang w:val="en-US"/>
        </w:rPr>
        <w:t>Education of Youth and A</w:t>
      </w:r>
      <w:r w:rsidR="009F7CA5" w:rsidRPr="009F7CA5">
        <w:rPr>
          <w:rFonts w:ascii="Liberation Serif" w:hAnsi="Liberation Serif"/>
          <w:sz w:val="24"/>
          <w:szCs w:val="24"/>
          <w:lang w:val="en-US"/>
        </w:rPr>
        <w:t>dults</w:t>
      </w:r>
      <w:r w:rsidRPr="004401A1">
        <w:rPr>
          <w:rFonts w:ascii="Liberation Serif" w:hAnsi="Liberation Serif"/>
          <w:sz w:val="24"/>
          <w:szCs w:val="24"/>
          <w:lang w:val="en-US"/>
        </w:rPr>
        <w:t>) education at the elementary level when discussing the data from the 2010 School Census. Younger students, particularly those aged 18 to 24, are more represented in EJA, given the availability of educational opportunities, compared to older students, who face more difficulties attending school.</w:t>
      </w:r>
    </w:p>
    <w:p w14:paraId="32E454BC" w14:textId="6EA79DEA"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 xml:space="preserve">This relationship reverses for older students, revealing a neglected demand in terms of EJA education. Up to the age of 29, the number of individuals with incomplete elementary education who were not attending school was close to 37 million, while for those over 30, it exceeded 80 million. Conversely, individuals up to 29 years old with incomplete elementary education who were attending </w:t>
      </w:r>
      <w:r w:rsidRPr="004401A1">
        <w:rPr>
          <w:rFonts w:ascii="Liberation Serif" w:hAnsi="Liberation Serif"/>
          <w:sz w:val="24"/>
          <w:szCs w:val="24"/>
          <w:lang w:val="en-US"/>
        </w:rPr>
        <w:lastRenderedPageBreak/>
        <w:t>school numbered approximately 845,000, and for those over 30, the figure was 478,000. It is noteworthy that among the students up to 29 years old with incomplete elementary education who attended EJA, 558,746 were in the age group up to 19 years, accounting for about 65% of the attendance</w:t>
      </w:r>
      <w:r w:rsidR="000C6850" w:rsidRPr="004401A1">
        <w:rPr>
          <w:rFonts w:ascii="Liberation Serif" w:hAnsi="Liberation Serif"/>
          <w:sz w:val="24"/>
          <w:szCs w:val="24"/>
          <w:lang w:val="en-US"/>
        </w:rPr>
        <w:t>.</w:t>
      </w:r>
    </w:p>
    <w:p w14:paraId="75FFEFD7"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At the same time, the Statistical Synopses of Basic Education from 2007 and 2015 allow for an analysis of EJA integrated with Vocational Education, where the growth of schooling associated with training for work remains modest, standing at 3.4% of the total 3,491,869 enrollments in this modality. This meager figure, linked to the broadly offered, streamlined, instrumental, and reductionist courses by private initiatives, highlights that the proposals and political actions for integrating EJA with Vocational Education have fallen far short of the demands of a diverse audience striving for better living and working conditions to face the challenges posed by capitalist society.</w:t>
      </w:r>
    </w:p>
    <w:p w14:paraId="76A10E14"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Despite the prevalence of precarious training for precarious work driven by businesses, the low rate of 3.4% achieved by EJA integrated with vocational education was ensured by the growth of public schooling at the federal, state, and municipal levels. As expressed in the Statistical Synopses of Basic Education, of the 9,979 enrollments in EJA associated with vocational education at the secondary level in 2007, around 60% were in the public education system, with 50% at the federal level.</w:t>
      </w:r>
    </w:p>
    <w:p w14:paraId="5F918A61" w14:textId="3F6BCFEA"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By 2015, enrollments had reached a total of 106,454 in EJA integrated with Vocational Education, primarily due to its expansion in elementary education, especially through PROJOVEM URBANO. The participation of the public education system in EJA integrated with Vocational Education increased, particularly at the state and municipal levels, with a record of 98,615 enrollments, accounting for 92% of the schooling</w:t>
      </w:r>
      <w:r w:rsidR="000C6850" w:rsidRPr="004401A1">
        <w:rPr>
          <w:rFonts w:ascii="Liberation Serif" w:hAnsi="Liberation Serif"/>
          <w:sz w:val="24"/>
          <w:szCs w:val="24"/>
          <w:lang w:val="en-US"/>
        </w:rPr>
        <w:t>.</w:t>
      </w:r>
    </w:p>
    <w:p w14:paraId="1631E981"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This expansion reveals potentialities in guaranteeing the right to EJA, provided that the ideopolitical condition of reinforcing private initiatives is reversed. One of these potentialities pertains to situating EJA in relation to pedagogical practice, resource utilization, teacher training, and, specifically, sociocultural diversity and training for work from a perspective that transcends the streamlined, instrumental, and privatized conception aimed at the market.</w:t>
      </w:r>
    </w:p>
    <w:p w14:paraId="76C24319" w14:textId="75C3664A"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 xml:space="preserve">It is worth noting that the National Education Plan (2014-2024) aims to offer at least 25% of EJA enrollments in an integrated form with Vocational Education, at both the elementary and secondary levels. Considering that between 2007 and 2015 there was a trend toward stability in the number of enrollments in EJA integrated with Vocational Education, at a level much lower than established in the PNE (2014-2024), it is possible to conclude that significant efforts will be required to meet this goal. This is because expanding the availability of slots requires, as a principle, involving </w:t>
      </w:r>
      <w:r w:rsidRPr="004401A1">
        <w:rPr>
          <w:rFonts w:ascii="Liberation Serif" w:hAnsi="Liberation Serif"/>
          <w:sz w:val="24"/>
          <w:szCs w:val="24"/>
          <w:lang w:val="en-US"/>
        </w:rPr>
        <w:lastRenderedPageBreak/>
        <w:t>EJA in discussions about pedagogical practice, the use of financial, material, and pedagogical resources, teacher training, sociocultural diversity, and training for work</w:t>
      </w:r>
      <w:r w:rsidR="000C6850" w:rsidRPr="004401A1">
        <w:rPr>
          <w:rFonts w:ascii="Liberation Serif" w:hAnsi="Liberation Serif"/>
          <w:sz w:val="24"/>
          <w:szCs w:val="24"/>
          <w:lang w:val="en-US"/>
        </w:rPr>
        <w:t xml:space="preserve">. </w:t>
      </w:r>
    </w:p>
    <w:p w14:paraId="38B29C22" w14:textId="4C24A849"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It is essential to recognize that EJ</w:t>
      </w:r>
      <w:r w:rsidR="009F7CA5">
        <w:rPr>
          <w:rFonts w:ascii="Liberation Serif" w:hAnsi="Liberation Serif"/>
          <w:sz w:val="24"/>
          <w:szCs w:val="24"/>
          <w:lang w:val="en-US"/>
        </w:rPr>
        <w:t>A</w:t>
      </w:r>
      <w:r w:rsidRPr="004401A1">
        <w:rPr>
          <w:rFonts w:ascii="Liberation Serif" w:hAnsi="Liberation Serif"/>
          <w:sz w:val="24"/>
          <w:szCs w:val="24"/>
          <w:lang w:val="en-US"/>
        </w:rPr>
        <w:t xml:space="preserve"> constitutes a modality of education where sociocultural diversity and training for work are marked not only by the condition of young and adult workers but also by gender and racial issues of the groups attending school. The statistical data from the Basic Education Yearbook indicate a trend toward equilibrium between men and women in the number of EJA enrollments from 2007 to 2015, with a slight shift in favor of men by the end of the period.</w:t>
      </w:r>
    </w:p>
    <w:p w14:paraId="371CA310"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In 2007, the total of 5,034,606 enrollments included 2,551,038 women and 2,483,568 men. By 2015, out of the total 3,491,869 enrollments, there were 1,717,741 women and 1,774,128 men enrolled in EJA. The comparative data from the Statistical Synopses of Basic Education indicates that the decline in enrollment rates occurred among both sexes.</w:t>
      </w:r>
    </w:p>
    <w:p w14:paraId="60A86711"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Although the enrollment relationship remained balanced, this decline was more significant among women (33%) than among men (29%), reversing a previous trend of a higher number of enrolled women compared to men during the period. Nonetheless, as noted by Ribeiro, Catelli, and Haddad (2015), it is important to consider that women tend to attend EJA more effectively than men.</w:t>
      </w:r>
    </w:p>
    <w:p w14:paraId="2B623875" w14:textId="09AA4956"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Regarding racial conditions, the statistical data from the Basic Education Yearbook revealed 374,929 enrollments of women who identified as white and 654,261 enrollments of women who identified as black or brown out of the total of 2,551,038 women enrolled in EJA in 2007. For men, there were 314,373 enrollments of white men, while 613,752 black and brown men enrolled in EJA out of a total of 2,483,568</w:t>
      </w:r>
      <w:r w:rsidR="000C6850" w:rsidRPr="004401A1">
        <w:rPr>
          <w:rFonts w:ascii="Liberation Serif" w:hAnsi="Liberation Serif"/>
          <w:sz w:val="24"/>
          <w:szCs w:val="24"/>
          <w:lang w:val="en-US"/>
        </w:rPr>
        <w:t>.</w:t>
      </w:r>
    </w:p>
    <w:p w14:paraId="2330EE7E" w14:textId="1757D872"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In 2015, the statistical data from Basic Education showed that 269,237 white women and 715,324 black and brown women enrolled in EJ</w:t>
      </w:r>
      <w:r w:rsidR="009F7CA5">
        <w:rPr>
          <w:rFonts w:ascii="Liberation Serif" w:hAnsi="Liberation Serif"/>
          <w:sz w:val="24"/>
          <w:szCs w:val="24"/>
          <w:lang w:val="en-US"/>
        </w:rPr>
        <w:t>A</w:t>
      </w:r>
      <w:r w:rsidRPr="004401A1">
        <w:rPr>
          <w:rFonts w:ascii="Liberation Serif" w:hAnsi="Liberation Serif"/>
          <w:sz w:val="24"/>
          <w:szCs w:val="24"/>
          <w:lang w:val="en-US"/>
        </w:rPr>
        <w:t xml:space="preserve"> out of a total of 1,717,741 enrollments. Among men, there were 264,368 self-declared white men and 718,440 who identified as black and brown from a total of 1,774,128 enrolled in EJA.</w:t>
      </w:r>
    </w:p>
    <w:p w14:paraId="513729E2" w14:textId="62F548B3"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The decline in EJA enrollments was observed among self-declared white individuals during the period from 2007 to 2015, with a reduction of 50,005 for men and 105,692 for women. However, the period recorded an increase in enrollments among self-declared black and brown individuals, with an increase of 104,688 for men and 61,063 for women</w:t>
      </w:r>
      <w:r w:rsidR="000C6850" w:rsidRPr="004401A1">
        <w:rPr>
          <w:rFonts w:ascii="Liberation Serif" w:hAnsi="Liberation Serif"/>
          <w:sz w:val="24"/>
          <w:szCs w:val="24"/>
          <w:lang w:val="en-US"/>
        </w:rPr>
        <w:t>.</w:t>
      </w:r>
    </w:p>
    <w:p w14:paraId="1308F91A"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This means that EJA remains predominantly occupied by black and brown women, reinforcing the position of Ribeiro, Catelli, and Haddad (2015) that young, female, and black individuals effectively attend this mode of basic education.</w:t>
      </w:r>
    </w:p>
    <w:p w14:paraId="5A491650"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lastRenderedPageBreak/>
        <w:t>It is important to highlight the perspectives on literacy placed in the educational processes within EJA. The Functional Literacy Indicator (Inaf) allows us to observe the significance of educational advances and difficulties among workers aged 15 to 64.</w:t>
      </w:r>
    </w:p>
    <w:p w14:paraId="40E9D9EC"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Between 2007 and 2015, Inaf Brazil indicates that there was a reduction in functional illiteracy for people aged 15 to 64, from 34% to 27%, a decrease of 7%. Conversely, functional literacy increased from 66% to 73%.</w:t>
      </w:r>
    </w:p>
    <w:p w14:paraId="665A0AEC" w14:textId="77777777" w:rsidR="004401A1"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In terms of literacy, the indices related to rudimentary levels of literacy and numeracy remained stable, with a slight reduction of 2%, from 25% to 23%. Ribeiro, Catelli, and Haddad (2015) warn that the progress in reducing illiteracy and literacy at rudimentary levels occurs mainly due to the increase in the adult population reaching a basic level. This information is corroborated by the observation that literacy at the basic level of reading and numeracy increased slightly from 38% in 2007 to 42% in 2015, marking a 4% rise.</w:t>
      </w:r>
    </w:p>
    <w:p w14:paraId="73115A8C" w14:textId="453677D7" w:rsidR="000C6850" w:rsidRPr="004401A1" w:rsidRDefault="004401A1" w:rsidP="004401A1">
      <w:pPr>
        <w:spacing w:line="360" w:lineRule="auto"/>
        <w:ind w:firstLine="567"/>
        <w:jc w:val="both"/>
        <w:rPr>
          <w:rFonts w:ascii="Liberation Serif" w:hAnsi="Liberation Serif"/>
          <w:sz w:val="24"/>
          <w:szCs w:val="24"/>
          <w:lang w:val="en-US"/>
        </w:rPr>
      </w:pPr>
      <w:r w:rsidRPr="004401A1">
        <w:rPr>
          <w:rFonts w:ascii="Liberation Serif" w:hAnsi="Liberation Serif"/>
          <w:sz w:val="24"/>
          <w:szCs w:val="24"/>
          <w:lang w:val="en-US"/>
        </w:rPr>
        <w:t>It is worth noting that there were changes in the criteria established by Inaf for identifying literacy levels. The full literacy level of 2007 was divided into two levels in 2015: intermediate and full. For analytical purposes in this text, an approach was adopted that combines the two levels from 2015 to check its alignment with the full literacy level of 2007</w:t>
      </w:r>
      <w:r w:rsidR="000C6850" w:rsidRPr="004401A1">
        <w:rPr>
          <w:rFonts w:ascii="Liberation Serif" w:hAnsi="Liberation Serif"/>
          <w:sz w:val="24"/>
          <w:szCs w:val="24"/>
          <w:lang w:val="en-US"/>
        </w:rPr>
        <w:t>.</w:t>
      </w:r>
    </w:p>
    <w:p w14:paraId="7BCBA1D2" w14:textId="77777777" w:rsidR="000C6850" w:rsidRPr="004D0ED6" w:rsidRDefault="000C6850" w:rsidP="004D0ED6">
      <w:pPr>
        <w:spacing w:line="360" w:lineRule="auto"/>
        <w:ind w:firstLine="567"/>
        <w:jc w:val="both"/>
        <w:rPr>
          <w:rFonts w:ascii="Liberation Serif" w:hAnsi="Liberation Serif"/>
          <w:sz w:val="24"/>
          <w:szCs w:val="24"/>
        </w:rPr>
      </w:pPr>
      <w:r w:rsidRPr="004D0ED6">
        <w:rPr>
          <w:rFonts w:ascii="Liberation Serif" w:hAnsi="Liberation Serif"/>
          <w:sz w:val="24"/>
          <w:szCs w:val="24"/>
        </w:rPr>
        <w:t>Nesse sentido, pode-se notar que se elevaram os níveis de alfabetismo pleno em 3% no período de 2007 a 2015, passando de 28% para 31%. Ribeiro, Catelli e Haddad (2015) consideram que o alfabetismo em nível pleno se mantém em torno de um quarto da população de 15 a 64 anos, expressando um lentíssimo crescimento, confirmado no período de oito anos que abrange esta pesquisa.</w:t>
      </w:r>
    </w:p>
    <w:p w14:paraId="4E0BE3F5" w14:textId="3CAD6A2E" w:rsidR="000C6850" w:rsidRPr="003128E1" w:rsidRDefault="003128E1" w:rsidP="004D0ED6">
      <w:pPr>
        <w:spacing w:line="360" w:lineRule="auto"/>
        <w:ind w:firstLine="567"/>
        <w:jc w:val="both"/>
        <w:rPr>
          <w:rFonts w:ascii="Liberation Serif" w:hAnsi="Liberation Serif"/>
          <w:sz w:val="24"/>
          <w:szCs w:val="24"/>
          <w:lang w:val="en-US"/>
        </w:rPr>
      </w:pPr>
      <w:r w:rsidRPr="003128E1">
        <w:rPr>
          <w:rFonts w:ascii="Liberation Serif" w:hAnsi="Liberation Serif"/>
          <w:sz w:val="24"/>
          <w:szCs w:val="24"/>
          <w:lang w:val="en-US"/>
        </w:rPr>
        <w:t>In addition to the decline in enrollments, the processes of schooling in EJA face difficulties in materializing in terms of teaching quality, especially for the working young and adult population aged 15 to 64, whose precarious living and working conditions underscore the urgent need for continued studies. When relating literacy and schooling within this age group, there was a slight decrease in rudimentary levels during the early years of elementary education, from 52% to 49%, a drop of 3%, between 2007 and 2015. However, in the final years of elementary education and in high school, there was an increase of 6% and 3%, respectively, in rudimentary literacy levels. From 2007 to 2015, rudimentary literacy levels rose from 26% to 32% in the final years of elementary education and from 8% to 11% in high school</w:t>
      </w:r>
      <w:r w:rsidR="000C6850" w:rsidRPr="003128E1">
        <w:rPr>
          <w:rFonts w:ascii="Liberation Serif" w:hAnsi="Liberation Serif"/>
          <w:sz w:val="24"/>
          <w:szCs w:val="24"/>
          <w:lang w:val="en-US"/>
        </w:rPr>
        <w:t xml:space="preserve">. </w:t>
      </w:r>
    </w:p>
    <w:p w14:paraId="61D8D0EF" w14:textId="77777777"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 xml:space="preserve">In terms of elementary literacy levels, the situation was similar, with a decrease of 3%, from 30% to 27% in the early years of elementary education. The percentage remained stable at 53% and </w:t>
      </w:r>
      <w:r w:rsidRPr="00C84EC7">
        <w:rPr>
          <w:rFonts w:ascii="Liberation Serif" w:hAnsi="Liberation Serif"/>
          <w:sz w:val="24"/>
          <w:szCs w:val="24"/>
          <w:lang w:val="en-US"/>
        </w:rPr>
        <w:lastRenderedPageBreak/>
        <w:t>increased by 3% for the final years of elementary education and high school, respectively, during the same period.</w:t>
      </w:r>
    </w:p>
    <w:p w14:paraId="55D43A70" w14:textId="77E51AD9"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In terms of full literacy, the early years of elementary education maintained a level of 5% between 2007 and 2015, but declined in the final years from 20% to 13%, and in high school from 47% to 40%. Despite the changes in the criteria for identifying literacy by Inaf</w:t>
      </w:r>
      <w:r w:rsidRPr="009F7CA5">
        <w:rPr>
          <w:rFonts w:ascii="Liberation Serif" w:hAnsi="Liberation Serif"/>
          <w:sz w:val="24"/>
          <w:szCs w:val="24"/>
          <w:lang w:val="en-US"/>
        </w:rPr>
        <w:t>,</w:t>
      </w:r>
      <w:r w:rsidRPr="00C84EC7">
        <w:rPr>
          <w:rFonts w:ascii="Liberation Serif" w:hAnsi="Liberation Serif"/>
          <w:sz w:val="24"/>
          <w:szCs w:val="24"/>
          <w:lang w:val="en-US"/>
        </w:rPr>
        <w:t xml:space="preserve"> the educational records for individuals aged 15 to 64 showed that overcoming rudimentary levels still represents a long struggle, necessitating the centrality of EJA as a right. At the same time, the eight-year period defining this research revealed a worsening of the difficulties faced by schooling processes in providing full literacy levels, highlighting the precariousness of EJA in meeting its audience's needs.</w:t>
      </w:r>
    </w:p>
    <w:p w14:paraId="5D929181" w14:textId="7E4AA261" w:rsidR="000C6850"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It is important to note that, according to Inaf, more than two-thirds of individuals aged 15 to 64 who did not attend school or had at most four years of schooling remained in a state of functional illiteracy. Among those who enrolled in or completed elementary education, achieving a basic level of schooling (53%), the equivalent of 34% could still be classified as functionally illiterate. The unrestricted ability to comprehend and interpret texts in everyday situations and to solve problems involving multiple steps, operations, and information was only achieved by 9% of those who attended or completed high school</w:t>
      </w:r>
      <w:r w:rsidR="000C6850" w:rsidRPr="00C84EC7">
        <w:rPr>
          <w:rFonts w:ascii="Liberation Serif" w:hAnsi="Liberation Serif"/>
          <w:sz w:val="24"/>
          <w:szCs w:val="24"/>
          <w:lang w:val="en-US"/>
        </w:rPr>
        <w:t>.</w:t>
      </w:r>
    </w:p>
    <w:p w14:paraId="06390130" w14:textId="77777777"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In relation to age, the 2015 Inaf data highlights a higher incidence of illiteracy (52%) and rudimentary literacy (38%) among individuals over 50 years old, with a low percentage of this age group in the higher proficiency levels, including intermediate groups (13%) and proficient (7%). At the same time, young people aged 15 to 24 are found in lower proportions in the low levels of illiteracy (8%) and rudimentary literacy (17%). Therefore, the condition of functional illiteracy affects 25% of young people aged 15 to 24, although it should be noted that some are still in the process of completing their education.</w:t>
      </w:r>
    </w:p>
    <w:p w14:paraId="53EF50E6" w14:textId="77777777"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Regarding color/race, the 2015 Inaf data shows that 77% of the Black or Brown population aged 15 to 64 are in a state of illiteracy, with only 48% in the proficient group. In contrast, the white population has an illiteracy rate of 19% and a proficiency rate of 48%, despite making up 38% of the Brazilian population.</w:t>
      </w:r>
    </w:p>
    <w:p w14:paraId="3C590050" w14:textId="2286B6FE" w:rsidR="000C6850"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The Inaf data reveals that advances in absolute illiteracy and rudimentary literacy skills have stabilized at very low levels as of 2015. The slow progression of the population reaching a basic level of literacy and the lack of advancements in terms of full literacy levels indicate, among other factors, that obstacles to the schooling processes in EJA persisted during the research period</w:t>
      </w:r>
      <w:r w:rsidR="000C6850" w:rsidRPr="00C84EC7">
        <w:rPr>
          <w:rFonts w:ascii="Liberation Serif" w:hAnsi="Liberation Serif"/>
          <w:sz w:val="24"/>
          <w:szCs w:val="24"/>
          <w:lang w:val="en-US"/>
        </w:rPr>
        <w:t>.</w:t>
      </w:r>
    </w:p>
    <w:p w14:paraId="3D6DE2E4" w14:textId="77777777" w:rsidR="000C6850" w:rsidRPr="00C84EC7" w:rsidRDefault="000C6850" w:rsidP="004D0ED6">
      <w:pPr>
        <w:spacing w:line="360" w:lineRule="auto"/>
        <w:ind w:firstLine="567"/>
        <w:jc w:val="both"/>
        <w:rPr>
          <w:rFonts w:ascii="Liberation Serif" w:hAnsi="Liberation Serif"/>
          <w:b/>
          <w:sz w:val="24"/>
          <w:szCs w:val="24"/>
          <w:lang w:val="en-US"/>
        </w:rPr>
      </w:pPr>
    </w:p>
    <w:p w14:paraId="55D293AB" w14:textId="77777777" w:rsidR="00C84EC7" w:rsidRPr="004B770E" w:rsidRDefault="00C84EC7" w:rsidP="00C84EC7">
      <w:pPr>
        <w:jc w:val="both"/>
        <w:rPr>
          <w:rFonts w:ascii="Liberation Serif" w:hAnsi="Liberation Serif"/>
          <w:b/>
          <w:sz w:val="28"/>
          <w:szCs w:val="28"/>
          <w:lang w:val="en-US"/>
        </w:rPr>
      </w:pPr>
      <w:r w:rsidRPr="004B770E">
        <w:rPr>
          <w:rFonts w:ascii="Liberation Serif" w:hAnsi="Liberation Serif"/>
          <w:b/>
          <w:sz w:val="28"/>
          <w:szCs w:val="28"/>
          <w:lang w:val="en-US"/>
        </w:rPr>
        <w:lastRenderedPageBreak/>
        <w:t>Final considerations</w:t>
      </w:r>
    </w:p>
    <w:p w14:paraId="277571B3" w14:textId="77777777" w:rsidR="001A3AD6" w:rsidRPr="004B770E" w:rsidRDefault="001A3AD6" w:rsidP="004D0ED6">
      <w:pPr>
        <w:spacing w:line="360" w:lineRule="auto"/>
        <w:ind w:firstLine="567"/>
        <w:jc w:val="both"/>
        <w:rPr>
          <w:rFonts w:ascii="Liberation Serif" w:hAnsi="Liberation Serif"/>
          <w:sz w:val="24"/>
          <w:szCs w:val="24"/>
          <w:lang w:val="en-US"/>
        </w:rPr>
      </w:pPr>
    </w:p>
    <w:p w14:paraId="05406EA6" w14:textId="06743024"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It can be considered that the capitalist crisis that marked Brazilian society fro</w:t>
      </w:r>
      <w:r w:rsidR="009F7CA5">
        <w:rPr>
          <w:rFonts w:ascii="Liberation Serif" w:hAnsi="Liberation Serif"/>
          <w:sz w:val="24"/>
          <w:szCs w:val="24"/>
          <w:lang w:val="en-US"/>
        </w:rPr>
        <w:t xml:space="preserve">m 2007 expressed itself in EJA </w:t>
      </w:r>
      <w:r w:rsidRPr="00C84EC7">
        <w:rPr>
          <w:rFonts w:ascii="Liberation Serif" w:hAnsi="Liberation Serif"/>
          <w:sz w:val="24"/>
          <w:szCs w:val="24"/>
          <w:lang w:val="en-US"/>
        </w:rPr>
        <w:t>contributing to the expectation that only one-fourth of the population would achieve full completion of primary and secondary education. The comparison of Inaf data revealed a complex issue that points to the values and conceptions that animated the policies for EJA between 2007 and 2015.</w:t>
      </w:r>
    </w:p>
    <w:p w14:paraId="13E17D32" w14:textId="77777777"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The willingness to attract demand, expressed through a sense of precarization, intensified in the conditions of schooling due to the focus on meeting specific training needs for work and the favoring of private groups, which ran counter to emancipatory claims for EJA. Understanding the reality of EJA from its constitution in different formats, integrating a diverse public with various needs and specific life experiences—such as their relationship with work, regional, age, racial, and gender affiliations—implies a deeper commitment to social and educational quality for workers.</w:t>
      </w:r>
    </w:p>
    <w:p w14:paraId="4C8CA50E" w14:textId="77777777" w:rsidR="00C84EC7"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The condition of young and adult workers who are poorly or uneducated reflects what Rummert (2017) analyzes as the distribution of education levels within the working class and the segmentation of partial access to knowledge in the second decade of the 21st century. This indicates that the dominant political option is to limit full access and quality retention in a public school system that is universal, free, and genuinely committed to comprehensive education.</w:t>
      </w:r>
    </w:p>
    <w:p w14:paraId="5DC95DE4" w14:textId="5CB45D2B" w:rsidR="000C6850" w:rsidRPr="00C84EC7" w:rsidRDefault="00C84EC7" w:rsidP="00C84EC7">
      <w:pPr>
        <w:spacing w:line="360" w:lineRule="auto"/>
        <w:ind w:firstLine="567"/>
        <w:jc w:val="both"/>
        <w:rPr>
          <w:rFonts w:ascii="Liberation Serif" w:hAnsi="Liberation Serif"/>
          <w:sz w:val="24"/>
          <w:szCs w:val="24"/>
          <w:lang w:val="en-US"/>
        </w:rPr>
      </w:pPr>
      <w:r w:rsidRPr="00C84EC7">
        <w:rPr>
          <w:rFonts w:ascii="Liberation Serif" w:hAnsi="Liberation Serif"/>
          <w:sz w:val="24"/>
          <w:szCs w:val="24"/>
          <w:lang w:val="en-US"/>
        </w:rPr>
        <w:t>The historical duality of education present in Brazilian society intertwines with the crisis, resulting in significant repercussions for access to the schooling of young and adult learners, as well as denials of the appropriation of knowledge as a legacy of humanity that serves the working class. The decline in access to educational processes between 2007 and 2015 suggests that the precarization of living and working conditions tends to interfere with the demands for guaranteeing the right to Education for Young Adults</w:t>
      </w:r>
      <w:r w:rsidR="000C6850" w:rsidRPr="00C84EC7">
        <w:rPr>
          <w:rFonts w:ascii="Liberation Serif" w:hAnsi="Liberation Serif"/>
          <w:sz w:val="24"/>
          <w:szCs w:val="24"/>
          <w:lang w:val="en-US"/>
        </w:rPr>
        <w:t>.</w:t>
      </w:r>
    </w:p>
    <w:p w14:paraId="1123CD85" w14:textId="77777777" w:rsidR="000C6850" w:rsidRPr="00C84EC7" w:rsidRDefault="000C6850" w:rsidP="004D0ED6">
      <w:pPr>
        <w:spacing w:line="360" w:lineRule="auto"/>
        <w:ind w:firstLine="567"/>
        <w:jc w:val="both"/>
        <w:rPr>
          <w:rFonts w:ascii="Liberation Serif" w:hAnsi="Liberation Serif"/>
          <w:sz w:val="24"/>
          <w:szCs w:val="24"/>
          <w:lang w:val="en-US"/>
        </w:rPr>
      </w:pPr>
    </w:p>
    <w:p w14:paraId="25902B0E" w14:textId="17BA16EE" w:rsidR="000C6850" w:rsidRPr="0071564F" w:rsidRDefault="00C84EC7" w:rsidP="001F0E73">
      <w:pPr>
        <w:jc w:val="both"/>
        <w:rPr>
          <w:rFonts w:ascii="Liberation Serif" w:hAnsi="Liberation Serif"/>
          <w:b/>
          <w:sz w:val="28"/>
          <w:szCs w:val="28"/>
        </w:rPr>
      </w:pPr>
      <w:r>
        <w:rPr>
          <w:rFonts w:ascii="Liberation Serif" w:hAnsi="Liberation Serif"/>
          <w:b/>
          <w:sz w:val="28"/>
          <w:szCs w:val="28"/>
        </w:rPr>
        <w:t>Reference</w:t>
      </w:r>
      <w:r w:rsidR="000C6850" w:rsidRPr="0071564F">
        <w:rPr>
          <w:rFonts w:ascii="Liberation Serif" w:hAnsi="Liberation Serif"/>
          <w:b/>
          <w:sz w:val="28"/>
          <w:szCs w:val="28"/>
        </w:rPr>
        <w:t>s</w:t>
      </w:r>
    </w:p>
    <w:p w14:paraId="26D0735B" w14:textId="77777777" w:rsidR="000C6850" w:rsidRPr="0071564F" w:rsidRDefault="000C6850" w:rsidP="001F0E73">
      <w:pPr>
        <w:jc w:val="both"/>
        <w:rPr>
          <w:rFonts w:ascii="Liberation Serif" w:hAnsi="Liberation Serif" w:cs="Times New Roman"/>
          <w:sz w:val="24"/>
          <w:szCs w:val="24"/>
        </w:rPr>
      </w:pPr>
      <w:r w:rsidRPr="0071564F">
        <w:rPr>
          <w:rFonts w:ascii="Liberation Serif" w:hAnsi="Liberation Serif" w:cs="Times New Roman"/>
          <w:sz w:val="24"/>
          <w:szCs w:val="24"/>
        </w:rPr>
        <w:t xml:space="preserve">ALMEIDA, Luana Costa, DALBEN, Adilson e FREITAS, Luiz Carlos de. O IDEB: limites e ilusões de uma política educacional. </w:t>
      </w:r>
      <w:r w:rsidRPr="0071564F">
        <w:rPr>
          <w:rFonts w:ascii="Liberation Serif" w:hAnsi="Liberation Serif" w:cs="Times New Roman"/>
          <w:b/>
          <w:sz w:val="24"/>
          <w:szCs w:val="24"/>
        </w:rPr>
        <w:t xml:space="preserve">Revista Educação e Sociedade, </w:t>
      </w:r>
      <w:r w:rsidRPr="0071564F">
        <w:rPr>
          <w:rFonts w:ascii="Liberation Serif" w:hAnsi="Liberation Serif" w:cs="Times New Roman"/>
          <w:sz w:val="24"/>
          <w:szCs w:val="24"/>
        </w:rPr>
        <w:t xml:space="preserve">Campinas, v. 34, n. 125, p. 1153-74, out.-dez. de 2013. </w:t>
      </w:r>
    </w:p>
    <w:p w14:paraId="25E63789" w14:textId="77777777" w:rsidR="000C6850" w:rsidRPr="0071564F" w:rsidRDefault="000C6850" w:rsidP="001F0E73">
      <w:pPr>
        <w:ind w:firstLine="567"/>
        <w:jc w:val="both"/>
        <w:rPr>
          <w:rFonts w:ascii="Liberation Serif" w:hAnsi="Liberation Serif" w:cs="Times New Roman"/>
          <w:sz w:val="24"/>
          <w:szCs w:val="24"/>
        </w:rPr>
      </w:pPr>
    </w:p>
    <w:p w14:paraId="0BED5592" w14:textId="77777777" w:rsidR="000C6850" w:rsidRPr="0071564F" w:rsidRDefault="000C6850" w:rsidP="001F0E73">
      <w:pPr>
        <w:jc w:val="both"/>
        <w:rPr>
          <w:rFonts w:ascii="Liberation Serif" w:hAnsi="Liberation Serif" w:cs="Times New Roman"/>
          <w:sz w:val="24"/>
          <w:szCs w:val="24"/>
        </w:rPr>
      </w:pPr>
      <w:r w:rsidRPr="0071564F">
        <w:rPr>
          <w:rFonts w:ascii="Liberation Serif" w:hAnsi="Liberation Serif" w:cs="Times New Roman"/>
          <w:sz w:val="24"/>
          <w:szCs w:val="24"/>
        </w:rPr>
        <w:t xml:space="preserve">ANTUNES, Ricardo. </w:t>
      </w:r>
      <w:r w:rsidRPr="0071564F">
        <w:rPr>
          <w:rFonts w:ascii="Liberation Serif" w:hAnsi="Liberation Serif" w:cs="Times New Roman"/>
          <w:b/>
          <w:bCs/>
          <w:sz w:val="24"/>
          <w:szCs w:val="24"/>
        </w:rPr>
        <w:t xml:space="preserve">O privilégio da servidão: </w:t>
      </w:r>
      <w:r w:rsidRPr="0071564F">
        <w:rPr>
          <w:rFonts w:ascii="Liberation Serif" w:hAnsi="Liberation Serif" w:cs="Times New Roman"/>
          <w:sz w:val="24"/>
          <w:szCs w:val="24"/>
        </w:rPr>
        <w:t>o novo proletariado de serviços na era digital. São Paulo: Boitempo, 2018.</w:t>
      </w:r>
    </w:p>
    <w:p w14:paraId="2AF86A81" w14:textId="77777777" w:rsidR="000C6850" w:rsidRPr="0071564F" w:rsidRDefault="000C6850" w:rsidP="001F0E73">
      <w:pPr>
        <w:ind w:firstLine="567"/>
        <w:jc w:val="both"/>
        <w:rPr>
          <w:rFonts w:ascii="Liberation Serif" w:hAnsi="Liberation Serif" w:cs="Times New Roman"/>
          <w:sz w:val="24"/>
          <w:szCs w:val="24"/>
        </w:rPr>
      </w:pPr>
    </w:p>
    <w:p w14:paraId="171A8DA4" w14:textId="77777777" w:rsidR="000C6850" w:rsidRPr="0071564F" w:rsidRDefault="000C6850" w:rsidP="001F0E73">
      <w:pPr>
        <w:jc w:val="both"/>
        <w:rPr>
          <w:rFonts w:ascii="Liberation Serif" w:hAnsi="Liberation Serif" w:cs="Times New Roman"/>
          <w:sz w:val="24"/>
          <w:szCs w:val="24"/>
        </w:rPr>
      </w:pPr>
      <w:r w:rsidRPr="0071564F">
        <w:rPr>
          <w:rFonts w:ascii="Liberation Serif" w:hAnsi="Liberation Serif" w:cs="Times New Roman"/>
          <w:sz w:val="24"/>
          <w:szCs w:val="24"/>
        </w:rPr>
        <w:t xml:space="preserve">BARBACOVI, Lecir Jacinto, CALDERANO, Maria da Assunção e PEREIRA, Margareth Conceição. </w:t>
      </w:r>
      <w:r w:rsidRPr="0071564F">
        <w:rPr>
          <w:rFonts w:ascii="Liberation Serif" w:hAnsi="Liberation Serif" w:cs="Times New Roman"/>
          <w:b/>
          <w:sz w:val="24"/>
          <w:szCs w:val="24"/>
        </w:rPr>
        <w:t xml:space="preserve">Algumas implicações das avaliações externas no trabalho docente. </w:t>
      </w:r>
      <w:r w:rsidRPr="0071564F">
        <w:rPr>
          <w:rFonts w:ascii="Liberation Serif" w:hAnsi="Liberation Serif" w:cs="Times New Roman"/>
          <w:sz w:val="24"/>
          <w:szCs w:val="24"/>
        </w:rPr>
        <w:t xml:space="preserve">In: CALDERANO, Maria da Assunção BARBACOVI, Lecir Jacinto e PEREIRA, Margareth Conceição </w:t>
      </w:r>
      <w:r w:rsidRPr="0071564F">
        <w:rPr>
          <w:rFonts w:ascii="Liberation Serif" w:hAnsi="Liberation Serif" w:cs="Times New Roman"/>
          <w:sz w:val="24"/>
          <w:szCs w:val="24"/>
        </w:rPr>
        <w:lastRenderedPageBreak/>
        <w:t xml:space="preserve">(org.). </w:t>
      </w:r>
      <w:r w:rsidRPr="0071564F">
        <w:rPr>
          <w:rFonts w:ascii="Liberation Serif" w:hAnsi="Liberation Serif" w:cs="Times New Roman"/>
          <w:b/>
          <w:sz w:val="24"/>
          <w:szCs w:val="24"/>
        </w:rPr>
        <w:t xml:space="preserve">O que o IDEB não conta? </w:t>
      </w:r>
      <w:r w:rsidRPr="0071564F">
        <w:rPr>
          <w:rFonts w:ascii="Liberation Serif" w:hAnsi="Liberation Serif" w:cs="Times New Roman"/>
          <w:sz w:val="24"/>
          <w:szCs w:val="24"/>
        </w:rPr>
        <w:t>Processos e resultados alcançados pela escola básica. JF: Editora da UFJF, 2013.</w:t>
      </w:r>
    </w:p>
    <w:p w14:paraId="70B87796" w14:textId="77777777" w:rsidR="000C6850" w:rsidRPr="0071564F" w:rsidRDefault="000C6850" w:rsidP="001F0E73">
      <w:pPr>
        <w:ind w:firstLine="567"/>
        <w:jc w:val="both"/>
        <w:rPr>
          <w:rFonts w:ascii="Liberation Serif" w:hAnsi="Liberation Serif" w:cs="Times New Roman"/>
          <w:sz w:val="24"/>
          <w:szCs w:val="24"/>
        </w:rPr>
      </w:pPr>
    </w:p>
    <w:p w14:paraId="6FD0995E" w14:textId="77777777" w:rsidR="000C6850" w:rsidRPr="0071564F" w:rsidRDefault="000C6850" w:rsidP="001F0E73">
      <w:pPr>
        <w:jc w:val="both"/>
        <w:rPr>
          <w:rFonts w:ascii="Liberation Serif" w:hAnsi="Liberation Serif" w:cs="Times New Roman"/>
          <w:sz w:val="24"/>
          <w:szCs w:val="24"/>
        </w:rPr>
      </w:pPr>
      <w:r w:rsidRPr="0071564F">
        <w:rPr>
          <w:rFonts w:ascii="Liberation Serif" w:hAnsi="Liberation Serif" w:cs="Times New Roman"/>
          <w:sz w:val="24"/>
          <w:szCs w:val="24"/>
        </w:rPr>
        <w:t xml:space="preserve">BOMFIM, Maria Inês e RUMMERT, Sônia Maria. </w:t>
      </w:r>
      <w:r w:rsidRPr="0071564F">
        <w:rPr>
          <w:rFonts w:ascii="Liberation Serif" w:hAnsi="Liberation Serif" w:cs="Times New Roman"/>
          <w:b/>
          <w:sz w:val="24"/>
          <w:szCs w:val="24"/>
        </w:rPr>
        <w:t xml:space="preserve">Educação de Jovens e Adultos da classe trabalhadora: </w:t>
      </w:r>
      <w:r w:rsidRPr="0071564F">
        <w:rPr>
          <w:rFonts w:ascii="Liberation Serif" w:hAnsi="Liberation Serif" w:cs="Times New Roman"/>
          <w:sz w:val="24"/>
          <w:szCs w:val="24"/>
        </w:rPr>
        <w:t>“Novos” projetos, antigas disputas. Curitiba, PR: CRV, 2017.</w:t>
      </w:r>
    </w:p>
    <w:p w14:paraId="3098B04C" w14:textId="77777777" w:rsidR="000C6850" w:rsidRPr="0071564F" w:rsidRDefault="000C6850" w:rsidP="001F0E73">
      <w:pPr>
        <w:autoSpaceDE w:val="0"/>
        <w:autoSpaceDN w:val="0"/>
        <w:adjustRightInd w:val="0"/>
        <w:ind w:firstLine="567"/>
        <w:jc w:val="both"/>
        <w:rPr>
          <w:rFonts w:ascii="Liberation Serif" w:hAnsi="Liberation Serif" w:cs="Times New Roman"/>
          <w:sz w:val="24"/>
          <w:szCs w:val="24"/>
        </w:rPr>
      </w:pPr>
    </w:p>
    <w:p w14:paraId="17E5847F" w14:textId="77777777" w:rsidR="00767FC1" w:rsidRPr="0071564F" w:rsidRDefault="00767FC1" w:rsidP="00767FC1">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 xml:space="preserve">BRASIL. </w:t>
      </w:r>
      <w:r w:rsidRPr="0071564F">
        <w:rPr>
          <w:rFonts w:ascii="Liberation Serif" w:hAnsi="Liberation Serif"/>
          <w:b/>
          <w:sz w:val="24"/>
          <w:szCs w:val="24"/>
        </w:rPr>
        <w:t xml:space="preserve">Lei nº 13.005, de 25 de junho de 2014. </w:t>
      </w:r>
      <w:r w:rsidRPr="0071564F">
        <w:rPr>
          <w:rFonts w:ascii="Liberation Serif" w:hAnsi="Liberation Serif"/>
          <w:sz w:val="24"/>
          <w:szCs w:val="24"/>
        </w:rPr>
        <w:t>Aprova o Plano Nacional de Educação e dá outras providências.</w:t>
      </w:r>
    </w:p>
    <w:p w14:paraId="7C13AFB1" w14:textId="31B4BBE4" w:rsidR="00767FC1" w:rsidRPr="0071564F" w:rsidRDefault="00767FC1" w:rsidP="001F0E73">
      <w:pPr>
        <w:autoSpaceDE w:val="0"/>
        <w:autoSpaceDN w:val="0"/>
        <w:adjustRightInd w:val="0"/>
        <w:jc w:val="both"/>
        <w:rPr>
          <w:rFonts w:ascii="Liberation Serif" w:hAnsi="Liberation Serif" w:cs="Calibri-Bold"/>
          <w:bCs/>
          <w:sz w:val="24"/>
          <w:szCs w:val="24"/>
        </w:rPr>
      </w:pPr>
    </w:p>
    <w:p w14:paraId="6DE8AE63" w14:textId="7BB32405" w:rsidR="009C090D" w:rsidRPr="0071564F" w:rsidRDefault="009C090D" w:rsidP="009C090D">
      <w:pPr>
        <w:autoSpaceDE w:val="0"/>
        <w:autoSpaceDN w:val="0"/>
        <w:adjustRightInd w:val="0"/>
        <w:jc w:val="both"/>
        <w:rPr>
          <w:rFonts w:ascii="Liberation Serif" w:hAnsi="Liberation Serif"/>
          <w:sz w:val="24"/>
          <w:szCs w:val="24"/>
        </w:rPr>
      </w:pPr>
      <w:r w:rsidRPr="0071564F">
        <w:rPr>
          <w:rFonts w:ascii="Liberation Serif" w:hAnsi="Liberation Serif" w:cs="Calibri-Bold"/>
          <w:bCs/>
          <w:sz w:val="24"/>
          <w:szCs w:val="24"/>
        </w:rPr>
        <w:t xml:space="preserve">BRASIL. </w:t>
      </w:r>
      <w:r w:rsidRPr="0071564F">
        <w:rPr>
          <w:rFonts w:ascii="Liberation Serif" w:hAnsi="Liberation Serif" w:cs="Calibri-Bold"/>
          <w:b/>
          <w:bCs/>
          <w:sz w:val="24"/>
          <w:szCs w:val="24"/>
        </w:rPr>
        <w:t xml:space="preserve">Lei n° 11.507, de 20 de julho de 2007. </w:t>
      </w:r>
      <w:r w:rsidRPr="0071564F">
        <w:rPr>
          <w:rFonts w:ascii="Liberation Serif" w:hAnsi="Liberation Serif"/>
          <w:sz w:val="24"/>
          <w:szCs w:val="24"/>
        </w:rPr>
        <w:t>Altera as Leis nº 10.888, de 9 de junho de 2004, 11.273, de 6 de fevereiro de 2006, 11.357, de 19 de outubro de 2006, e 11.458, de 19 de março de 2007.</w:t>
      </w:r>
    </w:p>
    <w:p w14:paraId="2279D572" w14:textId="36FE332F" w:rsidR="009C090D" w:rsidRPr="0071564F" w:rsidRDefault="009C090D" w:rsidP="009C090D">
      <w:pPr>
        <w:autoSpaceDE w:val="0"/>
        <w:autoSpaceDN w:val="0"/>
        <w:adjustRightInd w:val="0"/>
        <w:jc w:val="both"/>
        <w:rPr>
          <w:rFonts w:ascii="Liberation Serif" w:hAnsi="Liberation Serif"/>
          <w:sz w:val="24"/>
          <w:szCs w:val="24"/>
        </w:rPr>
      </w:pPr>
    </w:p>
    <w:p w14:paraId="707ECBBE" w14:textId="45B58D10" w:rsidR="009C090D" w:rsidRPr="0071564F" w:rsidRDefault="009C090D" w:rsidP="009C090D">
      <w:pPr>
        <w:autoSpaceDE w:val="0"/>
        <w:autoSpaceDN w:val="0"/>
        <w:adjustRightInd w:val="0"/>
        <w:jc w:val="both"/>
        <w:rPr>
          <w:rFonts w:ascii="Liberation Serif" w:hAnsi="Liberation Serif" w:cs="Arial"/>
          <w:sz w:val="24"/>
          <w:szCs w:val="24"/>
        </w:rPr>
      </w:pPr>
      <w:r w:rsidRPr="0071564F">
        <w:rPr>
          <w:rFonts w:ascii="Liberation Serif" w:hAnsi="Liberation Serif" w:cs="Times New Roman"/>
          <w:sz w:val="24"/>
          <w:szCs w:val="24"/>
        </w:rPr>
        <w:t xml:space="preserve">BRASIL. </w:t>
      </w:r>
      <w:r w:rsidRPr="0071564F">
        <w:rPr>
          <w:rFonts w:ascii="Liberation Serif" w:hAnsi="Liberation Serif" w:cs="Times New Roman"/>
          <w:b/>
          <w:sz w:val="24"/>
          <w:szCs w:val="24"/>
        </w:rPr>
        <w:t xml:space="preserve">Decreto nº 6.094, de 24 de abril de 2007. </w:t>
      </w:r>
      <w:r w:rsidRPr="0071564F">
        <w:rPr>
          <w:rFonts w:ascii="Liberation Serif" w:hAnsi="Liberation Serif" w:cs="Arial"/>
          <w:sz w:val="24"/>
          <w:szCs w:val="24"/>
        </w:rPr>
        <w:t>Dispõe sobre a implementação do Plano de Metas Compromisso Todos pela Educação, pela União Federal, em regime de colaboração com Municípios, Distrito Federal e Estados, e a participação das famílias e da comunidade, mediante programas e ações de assistência técnica e financeira, visando a mobilização social pela melhoria da qualidade da educação básica.</w:t>
      </w:r>
    </w:p>
    <w:p w14:paraId="60F18517" w14:textId="2C8B9AE0" w:rsidR="00A068C6" w:rsidRPr="0071564F" w:rsidRDefault="00A068C6" w:rsidP="009C090D">
      <w:pPr>
        <w:autoSpaceDE w:val="0"/>
        <w:autoSpaceDN w:val="0"/>
        <w:adjustRightInd w:val="0"/>
        <w:jc w:val="both"/>
        <w:rPr>
          <w:rFonts w:ascii="Liberation Serif" w:hAnsi="Liberation Serif" w:cs="Arial"/>
          <w:sz w:val="24"/>
          <w:szCs w:val="24"/>
        </w:rPr>
      </w:pPr>
    </w:p>
    <w:p w14:paraId="4A481085" w14:textId="77777777" w:rsidR="00A068C6" w:rsidRPr="0071564F" w:rsidRDefault="00A068C6" w:rsidP="00A068C6">
      <w:pPr>
        <w:autoSpaceDE w:val="0"/>
        <w:autoSpaceDN w:val="0"/>
        <w:adjustRightInd w:val="0"/>
        <w:jc w:val="both"/>
        <w:rPr>
          <w:rFonts w:ascii="Liberation Serif" w:hAnsi="Liberation Serif"/>
          <w:sz w:val="24"/>
          <w:szCs w:val="24"/>
        </w:rPr>
      </w:pPr>
      <w:r w:rsidRPr="0071564F">
        <w:rPr>
          <w:rFonts w:ascii="Liberation Serif" w:hAnsi="Liberation Serif" w:cs="Arial"/>
          <w:sz w:val="24"/>
          <w:szCs w:val="24"/>
        </w:rPr>
        <w:t xml:space="preserve">BRASIL. </w:t>
      </w:r>
      <w:r w:rsidRPr="0071564F">
        <w:rPr>
          <w:rFonts w:ascii="Liberation Serif" w:hAnsi="Liberation Serif" w:cs="Calibri-Bold"/>
          <w:b/>
          <w:bCs/>
          <w:sz w:val="24"/>
          <w:szCs w:val="24"/>
        </w:rPr>
        <w:t xml:space="preserve">Documento Base Programa de Integração da Educação Profissional Técnica de Nível Médio ao Ensino Médio na Modalidade de Educação de Jovens e Adultos. </w:t>
      </w:r>
      <w:r w:rsidRPr="0071564F">
        <w:rPr>
          <w:rFonts w:ascii="Liberation Serif" w:hAnsi="Liberation Serif"/>
          <w:sz w:val="24"/>
          <w:szCs w:val="24"/>
        </w:rPr>
        <w:t xml:space="preserve">Brasília, Ministério da Educação, Secretaria de Educação Profissional e Tecnológica, 2007b. Disponível em </w:t>
      </w:r>
      <w:hyperlink r:id="rId14" w:history="1">
        <w:r w:rsidRPr="0071564F">
          <w:rPr>
            <w:rStyle w:val="Hyperlink"/>
            <w:rFonts w:ascii="Liberation Serif" w:hAnsi="Liberation Serif"/>
            <w:color w:val="auto"/>
            <w:sz w:val="24"/>
            <w:szCs w:val="24"/>
          </w:rPr>
          <w:t>http://portal.mec.gov.br/setec/ arquivos/pdf2/proeja_medio.pdf</w:t>
        </w:r>
      </w:hyperlink>
      <w:r w:rsidRPr="0071564F">
        <w:rPr>
          <w:rFonts w:ascii="Liberation Serif" w:hAnsi="Liberation Serif"/>
          <w:sz w:val="24"/>
          <w:szCs w:val="24"/>
        </w:rPr>
        <w:t xml:space="preserve"> Acesso em: 19/05/2022.</w:t>
      </w:r>
    </w:p>
    <w:p w14:paraId="02C13CD9" w14:textId="77777777" w:rsidR="00A068C6" w:rsidRPr="0071564F" w:rsidRDefault="00A068C6" w:rsidP="009C090D">
      <w:pPr>
        <w:autoSpaceDE w:val="0"/>
        <w:autoSpaceDN w:val="0"/>
        <w:adjustRightInd w:val="0"/>
        <w:jc w:val="both"/>
        <w:rPr>
          <w:rFonts w:ascii="Liberation Serif" w:hAnsi="Liberation Serif" w:cs="Arial"/>
          <w:sz w:val="24"/>
          <w:szCs w:val="24"/>
        </w:rPr>
      </w:pPr>
    </w:p>
    <w:p w14:paraId="7E0263C4" w14:textId="55748FCD" w:rsidR="009C090D" w:rsidRPr="0071564F" w:rsidRDefault="009C090D" w:rsidP="009C090D">
      <w:pPr>
        <w:autoSpaceDE w:val="0"/>
        <w:autoSpaceDN w:val="0"/>
        <w:adjustRightInd w:val="0"/>
        <w:jc w:val="both"/>
        <w:rPr>
          <w:rFonts w:ascii="Liberation Serif" w:hAnsi="Liberation Serif" w:cs="Times New Roman"/>
          <w:sz w:val="24"/>
          <w:szCs w:val="24"/>
        </w:rPr>
      </w:pPr>
      <w:r w:rsidRPr="0071564F">
        <w:rPr>
          <w:rFonts w:ascii="Liberation Serif" w:hAnsi="Liberation Serif" w:cs="Times New Roman"/>
          <w:sz w:val="24"/>
          <w:szCs w:val="24"/>
        </w:rPr>
        <w:t xml:space="preserve">BRASIL. </w:t>
      </w:r>
      <w:r w:rsidRPr="0071564F">
        <w:rPr>
          <w:rFonts w:ascii="Liberation Serif" w:hAnsi="Liberation Serif" w:cs="Times New Roman"/>
          <w:b/>
          <w:sz w:val="24"/>
          <w:szCs w:val="24"/>
        </w:rPr>
        <w:t xml:space="preserve">Decreto nº 5.557, de 5 de outubro de 2005. </w:t>
      </w:r>
      <w:r w:rsidRPr="0071564F">
        <w:rPr>
          <w:rFonts w:ascii="Liberation Serif" w:hAnsi="Liberation Serif" w:cs="Times New Roman"/>
          <w:sz w:val="24"/>
          <w:szCs w:val="24"/>
        </w:rPr>
        <w:t>Regulamenta o Programa Nacional de Inclusão de Jovens – Pró-Jovem, instituído pela Lei nº 11.129, de 30 de junho de 2005.</w:t>
      </w:r>
    </w:p>
    <w:p w14:paraId="73BD8A08" w14:textId="49653796" w:rsidR="009C090D" w:rsidRPr="0071564F" w:rsidRDefault="009C090D" w:rsidP="009C090D">
      <w:pPr>
        <w:autoSpaceDE w:val="0"/>
        <w:autoSpaceDN w:val="0"/>
        <w:adjustRightInd w:val="0"/>
        <w:jc w:val="both"/>
        <w:rPr>
          <w:rFonts w:ascii="Liberation Serif" w:hAnsi="Liberation Serif" w:cs="Times New Roman"/>
          <w:sz w:val="24"/>
          <w:szCs w:val="24"/>
        </w:rPr>
      </w:pPr>
    </w:p>
    <w:p w14:paraId="19C1F2CF" w14:textId="77777777" w:rsidR="009C090D" w:rsidRPr="0071564F" w:rsidRDefault="009C090D" w:rsidP="009C090D">
      <w:pPr>
        <w:autoSpaceDE w:val="0"/>
        <w:autoSpaceDN w:val="0"/>
        <w:adjustRightInd w:val="0"/>
        <w:jc w:val="both"/>
        <w:rPr>
          <w:rFonts w:ascii="Liberation Serif" w:hAnsi="Liberation Serif"/>
          <w:sz w:val="24"/>
          <w:szCs w:val="24"/>
        </w:rPr>
      </w:pPr>
      <w:r w:rsidRPr="0071564F">
        <w:rPr>
          <w:rFonts w:ascii="Liberation Serif" w:hAnsi="Liberation Serif" w:cs="Calibri-Bold"/>
          <w:bCs/>
          <w:sz w:val="24"/>
          <w:szCs w:val="24"/>
        </w:rPr>
        <w:t xml:space="preserve">BRASIL. </w:t>
      </w:r>
      <w:r w:rsidRPr="0071564F">
        <w:rPr>
          <w:rFonts w:ascii="Liberation Serif" w:hAnsi="Liberation Serif" w:cs="Calibri-Bold"/>
          <w:b/>
          <w:bCs/>
          <w:sz w:val="24"/>
          <w:szCs w:val="24"/>
        </w:rPr>
        <w:t xml:space="preserve">Decreto n° 5.478, de 24 de junho de 2005. </w:t>
      </w:r>
      <w:r w:rsidRPr="0071564F">
        <w:rPr>
          <w:rFonts w:ascii="Liberation Serif" w:hAnsi="Liberation Serif"/>
          <w:sz w:val="24"/>
          <w:szCs w:val="24"/>
        </w:rPr>
        <w:t>Institui, no âmbito das instituições de educação tecnológica, o Programa de Integração da Educação Profissional ao Ensino Médio na Modalidade de Educação de Jovens e Adultos – PROEJA.</w:t>
      </w:r>
    </w:p>
    <w:p w14:paraId="4B1257DF" w14:textId="77777777" w:rsidR="009C090D" w:rsidRPr="0071564F" w:rsidRDefault="009C090D" w:rsidP="009C090D">
      <w:pPr>
        <w:autoSpaceDE w:val="0"/>
        <w:autoSpaceDN w:val="0"/>
        <w:adjustRightInd w:val="0"/>
        <w:jc w:val="both"/>
        <w:rPr>
          <w:rFonts w:ascii="Liberation Serif" w:hAnsi="Liberation Serif" w:cs="Times New Roman"/>
          <w:sz w:val="24"/>
          <w:szCs w:val="24"/>
        </w:rPr>
      </w:pPr>
    </w:p>
    <w:p w14:paraId="6CB024E7" w14:textId="5CF9F408" w:rsidR="000C6850" w:rsidRPr="0071564F" w:rsidRDefault="000C6850" w:rsidP="001F0E73">
      <w:pPr>
        <w:autoSpaceDE w:val="0"/>
        <w:autoSpaceDN w:val="0"/>
        <w:adjustRightInd w:val="0"/>
        <w:jc w:val="both"/>
        <w:rPr>
          <w:rFonts w:ascii="Liberation Serif" w:hAnsi="Liberation Serif" w:cs="Times New Roman"/>
          <w:sz w:val="24"/>
          <w:szCs w:val="24"/>
        </w:rPr>
      </w:pPr>
      <w:r w:rsidRPr="0071564F">
        <w:rPr>
          <w:rFonts w:ascii="Liberation Serif" w:hAnsi="Liberation Serif" w:cs="Calibri-Bold"/>
          <w:bCs/>
          <w:sz w:val="24"/>
          <w:szCs w:val="24"/>
        </w:rPr>
        <w:t xml:space="preserve">BRASIL. </w:t>
      </w:r>
      <w:r w:rsidRPr="0071564F">
        <w:rPr>
          <w:rFonts w:ascii="Liberation Serif" w:hAnsi="Liberation Serif" w:cs="Calibri-Bold"/>
          <w:b/>
          <w:bCs/>
          <w:sz w:val="24"/>
          <w:szCs w:val="24"/>
        </w:rPr>
        <w:t xml:space="preserve">Lei n° 10.880, de 9 de junho de 2004. </w:t>
      </w:r>
      <w:r w:rsidRPr="0071564F">
        <w:rPr>
          <w:rFonts w:ascii="Liberation Serif" w:hAnsi="Liberation Serif"/>
          <w:sz w:val="24"/>
          <w:szCs w:val="24"/>
        </w:rPr>
        <w:t>Institui o Programa de Apoio aos Sistemas de Ensino para Atendimento à Educação de Jovens e Adultos e dispõe sobre o repasse de recursos financeiros do Programa Brasil Alfabetizado.</w:t>
      </w:r>
      <w:r w:rsidRPr="0071564F">
        <w:rPr>
          <w:rFonts w:ascii="Liberation Serif" w:hAnsi="Liberation Serif" w:cs="Times New Roman"/>
          <w:sz w:val="24"/>
          <w:szCs w:val="24"/>
        </w:rPr>
        <w:t xml:space="preserve"> </w:t>
      </w:r>
    </w:p>
    <w:p w14:paraId="3C84B531" w14:textId="77777777" w:rsidR="000C6850" w:rsidRPr="0071564F" w:rsidRDefault="000C6850" w:rsidP="001F0E73">
      <w:pPr>
        <w:autoSpaceDE w:val="0"/>
        <w:autoSpaceDN w:val="0"/>
        <w:adjustRightInd w:val="0"/>
        <w:ind w:firstLine="567"/>
        <w:jc w:val="both"/>
        <w:rPr>
          <w:rFonts w:ascii="Liberation Serif" w:hAnsi="Liberation Serif" w:cs="Times New Roman"/>
          <w:sz w:val="24"/>
          <w:szCs w:val="24"/>
        </w:rPr>
      </w:pPr>
    </w:p>
    <w:p w14:paraId="7623068D" w14:textId="43C6F396" w:rsidR="009A0B57" w:rsidRPr="0071564F" w:rsidRDefault="009A0B57" w:rsidP="001F0E73">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 xml:space="preserve">CARVALHO, Marcelo Pagliosa. O financiamento da EJA no Brasil: repercussões iniciais do FUNDEB. </w:t>
      </w:r>
      <w:r w:rsidRPr="0071564F">
        <w:rPr>
          <w:rFonts w:ascii="Liberation Serif" w:hAnsi="Liberation Serif"/>
          <w:b/>
          <w:sz w:val="24"/>
          <w:szCs w:val="24"/>
        </w:rPr>
        <w:t xml:space="preserve">RBPAE, </w:t>
      </w:r>
      <w:r w:rsidRPr="0071564F">
        <w:rPr>
          <w:rFonts w:ascii="Liberation Serif" w:hAnsi="Liberation Serif"/>
          <w:sz w:val="24"/>
          <w:szCs w:val="24"/>
        </w:rPr>
        <w:t>v. 30, n. 3, p. 635-55, set./dez. de 2014.</w:t>
      </w:r>
    </w:p>
    <w:p w14:paraId="427B88E6" w14:textId="183FBD5E" w:rsidR="00C30B11" w:rsidRPr="0071564F" w:rsidRDefault="00C30B11" w:rsidP="001F0E73">
      <w:pPr>
        <w:autoSpaceDE w:val="0"/>
        <w:autoSpaceDN w:val="0"/>
        <w:adjustRightInd w:val="0"/>
        <w:jc w:val="both"/>
        <w:rPr>
          <w:rFonts w:ascii="Liberation Serif" w:hAnsi="Liberation Serif"/>
          <w:sz w:val="24"/>
          <w:szCs w:val="24"/>
        </w:rPr>
      </w:pPr>
    </w:p>
    <w:p w14:paraId="0BAB9A62" w14:textId="60DF2ACE" w:rsidR="00C30B11" w:rsidRPr="0071564F" w:rsidRDefault="00C30B11" w:rsidP="00C30B11">
      <w:pPr>
        <w:autoSpaceDE w:val="0"/>
        <w:autoSpaceDN w:val="0"/>
        <w:adjustRightInd w:val="0"/>
        <w:rPr>
          <w:rFonts w:ascii="Times New Roman" w:hAnsi="Times New Roman" w:cs="Times New Roman"/>
          <w:b/>
          <w:sz w:val="24"/>
          <w:szCs w:val="24"/>
        </w:rPr>
      </w:pPr>
      <w:r w:rsidRPr="0071564F">
        <w:rPr>
          <w:rFonts w:ascii="Times New Roman" w:hAnsi="Times New Roman" w:cs="Times New Roman"/>
          <w:sz w:val="24"/>
          <w:szCs w:val="24"/>
        </w:rPr>
        <w:t>CHESNAIS, François. O capitalismo encontrou limites intransponíveis?</w:t>
      </w:r>
      <w:r w:rsidRPr="0071564F">
        <w:rPr>
          <w:rFonts w:ascii="Times New Roman" w:hAnsi="Times New Roman" w:cs="Times New Roman"/>
          <w:b/>
          <w:sz w:val="24"/>
          <w:szCs w:val="24"/>
        </w:rPr>
        <w:t xml:space="preserve"> O Comuneiro – Revista Eletrônica pensa, resiste, critica, transforma. </w:t>
      </w:r>
      <w:r w:rsidRPr="0071564F">
        <w:rPr>
          <w:rFonts w:ascii="Times New Roman" w:hAnsi="Times New Roman" w:cs="Times New Roman"/>
          <w:sz w:val="24"/>
          <w:szCs w:val="24"/>
        </w:rPr>
        <w:t xml:space="preserve">N. 30, p. 1-15, Janeiro de 2017. </w:t>
      </w:r>
      <w:hyperlink r:id="rId15" w:history="1">
        <w:r w:rsidRPr="0071564F">
          <w:rPr>
            <w:rStyle w:val="Hyperlink"/>
            <w:rFonts w:ascii="Times New Roman" w:hAnsi="Times New Roman" w:cs="Times New Roman"/>
            <w:color w:val="auto"/>
            <w:sz w:val="24"/>
            <w:szCs w:val="24"/>
          </w:rPr>
          <w:t>https://cemflores.org/2017/07/30/o-capitalismo-encontrou-limites-intransponiveis-francois-chesnais/</w:t>
        </w:r>
      </w:hyperlink>
      <w:r w:rsidRPr="0071564F">
        <w:rPr>
          <w:rFonts w:ascii="Times New Roman" w:hAnsi="Times New Roman" w:cs="Times New Roman"/>
          <w:sz w:val="24"/>
          <w:szCs w:val="24"/>
        </w:rPr>
        <w:t xml:space="preserve"> Acesso em 09/12/2022.</w:t>
      </w:r>
      <w:r w:rsidRPr="0071564F">
        <w:rPr>
          <w:rFonts w:ascii="Times New Roman" w:hAnsi="Times New Roman" w:cs="Times New Roman"/>
          <w:b/>
          <w:sz w:val="24"/>
          <w:szCs w:val="24"/>
        </w:rPr>
        <w:t xml:space="preserve"> </w:t>
      </w:r>
    </w:p>
    <w:p w14:paraId="60508282" w14:textId="77777777" w:rsidR="00C30B11" w:rsidRPr="0071564F" w:rsidRDefault="00C30B11" w:rsidP="001F0E73">
      <w:pPr>
        <w:autoSpaceDE w:val="0"/>
        <w:autoSpaceDN w:val="0"/>
        <w:adjustRightInd w:val="0"/>
        <w:jc w:val="both"/>
        <w:rPr>
          <w:rFonts w:ascii="Liberation Serif" w:hAnsi="Liberation Serif"/>
          <w:sz w:val="24"/>
          <w:szCs w:val="24"/>
        </w:rPr>
      </w:pPr>
    </w:p>
    <w:p w14:paraId="48F22E28" w14:textId="77777777" w:rsidR="009C090D" w:rsidRPr="0071564F" w:rsidRDefault="001F0E73" w:rsidP="001F0E73">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I</w:t>
      </w:r>
      <w:r w:rsidR="00B24382" w:rsidRPr="0071564F">
        <w:rPr>
          <w:rFonts w:ascii="Liberation Serif" w:hAnsi="Liberation Serif"/>
          <w:sz w:val="24"/>
          <w:szCs w:val="24"/>
        </w:rPr>
        <w:t xml:space="preserve">NSTITUTO </w:t>
      </w:r>
      <w:r w:rsidRPr="0071564F">
        <w:rPr>
          <w:rFonts w:ascii="Liberation Serif" w:hAnsi="Liberation Serif"/>
          <w:sz w:val="24"/>
          <w:szCs w:val="24"/>
        </w:rPr>
        <w:t>B</w:t>
      </w:r>
      <w:r w:rsidR="00B24382" w:rsidRPr="0071564F">
        <w:rPr>
          <w:rFonts w:ascii="Liberation Serif" w:hAnsi="Liberation Serif"/>
          <w:sz w:val="24"/>
          <w:szCs w:val="24"/>
        </w:rPr>
        <w:t xml:space="preserve">RASILEIRO DE </w:t>
      </w:r>
      <w:r w:rsidRPr="0071564F">
        <w:rPr>
          <w:rFonts w:ascii="Liberation Serif" w:hAnsi="Liberation Serif"/>
          <w:sz w:val="24"/>
          <w:szCs w:val="24"/>
        </w:rPr>
        <w:t>G</w:t>
      </w:r>
      <w:r w:rsidR="00B24382" w:rsidRPr="0071564F">
        <w:rPr>
          <w:rFonts w:ascii="Liberation Serif" w:hAnsi="Liberation Serif"/>
          <w:sz w:val="24"/>
          <w:szCs w:val="24"/>
        </w:rPr>
        <w:t xml:space="preserve">EOGRAFIA E </w:t>
      </w:r>
      <w:r w:rsidRPr="0071564F">
        <w:rPr>
          <w:rFonts w:ascii="Liberation Serif" w:hAnsi="Liberation Serif"/>
          <w:sz w:val="24"/>
          <w:szCs w:val="24"/>
        </w:rPr>
        <w:t>E</w:t>
      </w:r>
      <w:r w:rsidR="00B24382" w:rsidRPr="0071564F">
        <w:rPr>
          <w:rFonts w:ascii="Liberation Serif" w:hAnsi="Liberation Serif"/>
          <w:sz w:val="24"/>
          <w:szCs w:val="24"/>
        </w:rPr>
        <w:t>STATÍSTICA</w:t>
      </w:r>
      <w:r w:rsidR="000C6850" w:rsidRPr="0071564F">
        <w:rPr>
          <w:rFonts w:ascii="Liberation Serif" w:hAnsi="Liberation Serif"/>
          <w:sz w:val="24"/>
          <w:szCs w:val="24"/>
        </w:rPr>
        <w:t xml:space="preserve">. </w:t>
      </w:r>
      <w:r w:rsidR="000C6850" w:rsidRPr="0071564F">
        <w:rPr>
          <w:rFonts w:ascii="Liberation Serif" w:hAnsi="Liberation Serif"/>
          <w:b/>
          <w:sz w:val="24"/>
          <w:szCs w:val="24"/>
        </w:rPr>
        <w:t xml:space="preserve">Anuário Estatístico do Brasil. </w:t>
      </w:r>
      <w:r w:rsidR="000C6850" w:rsidRPr="0071564F">
        <w:rPr>
          <w:rFonts w:ascii="Liberation Serif" w:hAnsi="Liberation Serif"/>
          <w:sz w:val="24"/>
          <w:szCs w:val="24"/>
        </w:rPr>
        <w:t>RJ: IBGE, 2015.</w:t>
      </w:r>
    </w:p>
    <w:p w14:paraId="237B4907" w14:textId="77777777" w:rsidR="009C090D" w:rsidRPr="0071564F" w:rsidRDefault="009C090D" w:rsidP="001F0E73">
      <w:pPr>
        <w:autoSpaceDE w:val="0"/>
        <w:autoSpaceDN w:val="0"/>
        <w:adjustRightInd w:val="0"/>
        <w:jc w:val="both"/>
        <w:rPr>
          <w:rFonts w:ascii="Liberation Serif" w:hAnsi="Liberation Serif"/>
          <w:sz w:val="24"/>
          <w:szCs w:val="24"/>
        </w:rPr>
      </w:pPr>
    </w:p>
    <w:p w14:paraId="4BAD5581" w14:textId="77777777" w:rsidR="009C090D" w:rsidRPr="0071564F" w:rsidRDefault="009C090D" w:rsidP="009C090D">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 xml:space="preserve">INSTITUTO BRASILEIRO DE GEOGRAFIA E ESTATÍSTICA. </w:t>
      </w:r>
      <w:r w:rsidRPr="0071564F">
        <w:rPr>
          <w:rFonts w:ascii="Liberation Serif" w:hAnsi="Liberation Serif"/>
          <w:b/>
          <w:sz w:val="24"/>
          <w:szCs w:val="24"/>
        </w:rPr>
        <w:t xml:space="preserve">Anuário Estatístico do Brasil. </w:t>
      </w:r>
      <w:r w:rsidRPr="0071564F">
        <w:rPr>
          <w:rFonts w:ascii="Liberation Serif" w:hAnsi="Liberation Serif"/>
          <w:sz w:val="24"/>
          <w:szCs w:val="24"/>
        </w:rPr>
        <w:t>RJ: IBGE, 2007.</w:t>
      </w:r>
    </w:p>
    <w:p w14:paraId="35A98133" w14:textId="0DE19E1C" w:rsidR="000C6850" w:rsidRPr="0071564F" w:rsidRDefault="000C6850" w:rsidP="001F0E73">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 xml:space="preserve"> </w:t>
      </w:r>
    </w:p>
    <w:p w14:paraId="6CE7BFF5" w14:textId="589CE417" w:rsidR="009C090D" w:rsidRPr="0071564F" w:rsidRDefault="009C090D" w:rsidP="001F0E73">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lastRenderedPageBreak/>
        <w:t xml:space="preserve">INSTITUTO NACIONAL DE ESTUDOS E PESQUISAS EDUCACIONAIS ANÍSIO TEIXEIRA. </w:t>
      </w:r>
      <w:r w:rsidRPr="0071564F">
        <w:rPr>
          <w:rFonts w:ascii="Liberation Serif" w:hAnsi="Liberation Serif"/>
          <w:b/>
          <w:sz w:val="24"/>
          <w:szCs w:val="24"/>
        </w:rPr>
        <w:t xml:space="preserve">Sinopse Estatística da Educação Básica de 2015. </w:t>
      </w:r>
      <w:r w:rsidRPr="0071564F">
        <w:rPr>
          <w:rFonts w:ascii="Liberation Serif" w:hAnsi="Liberation Serif"/>
          <w:sz w:val="24"/>
          <w:szCs w:val="24"/>
        </w:rPr>
        <w:t xml:space="preserve">Brasília: INEP, 2019. Disponível em </w:t>
      </w:r>
      <w:hyperlink r:id="rId16" w:history="1">
        <w:r w:rsidRPr="0071564F">
          <w:rPr>
            <w:rStyle w:val="Hyperlink"/>
            <w:rFonts w:ascii="Liberation Serif" w:hAnsi="Liberation Serif"/>
            <w:color w:val="auto"/>
            <w:sz w:val="24"/>
            <w:szCs w:val="24"/>
          </w:rPr>
          <w:t>https://www.gov.br/inep/pt-br/acesso-a-informacao/dados-abertos/sinopses-estatisticas/educacao-basica</w:t>
        </w:r>
      </w:hyperlink>
      <w:r w:rsidRPr="0071564F">
        <w:rPr>
          <w:rFonts w:ascii="Liberation Serif" w:hAnsi="Liberation Serif"/>
          <w:sz w:val="24"/>
          <w:szCs w:val="24"/>
        </w:rPr>
        <w:t>. Acesso em: 19/05/2022.</w:t>
      </w:r>
    </w:p>
    <w:p w14:paraId="15E7297D" w14:textId="602F5FCC" w:rsidR="009C090D" w:rsidRPr="0071564F" w:rsidRDefault="009C090D" w:rsidP="001F0E73">
      <w:pPr>
        <w:autoSpaceDE w:val="0"/>
        <w:autoSpaceDN w:val="0"/>
        <w:adjustRightInd w:val="0"/>
        <w:jc w:val="both"/>
        <w:rPr>
          <w:rFonts w:ascii="Liberation Serif" w:hAnsi="Liberation Serif"/>
          <w:sz w:val="24"/>
          <w:szCs w:val="24"/>
        </w:rPr>
      </w:pPr>
    </w:p>
    <w:p w14:paraId="147B0894" w14:textId="4F04C5B8" w:rsidR="009C090D" w:rsidRPr="0071564F" w:rsidRDefault="009C090D" w:rsidP="001F0E73">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 xml:space="preserve">INSTITUTO NACIONAL DE ESTUDOS E PESQUISAS EDUCACIONAIS ANÍSIO TEIXEIRA. </w:t>
      </w:r>
      <w:r w:rsidRPr="0071564F">
        <w:rPr>
          <w:rFonts w:ascii="Liberation Serif" w:hAnsi="Liberation Serif"/>
          <w:b/>
          <w:sz w:val="24"/>
          <w:szCs w:val="24"/>
        </w:rPr>
        <w:t xml:space="preserve">Censo Escolar da Educação Básica de 2010. </w:t>
      </w:r>
      <w:r w:rsidRPr="0071564F">
        <w:rPr>
          <w:rFonts w:ascii="Liberation Serif" w:hAnsi="Liberation Serif"/>
          <w:sz w:val="24"/>
          <w:szCs w:val="24"/>
        </w:rPr>
        <w:t>Brasília: INEP, 2010.</w:t>
      </w:r>
    </w:p>
    <w:p w14:paraId="7540F7DD" w14:textId="77777777" w:rsidR="009C090D" w:rsidRPr="0071564F" w:rsidRDefault="009C090D" w:rsidP="001F0E73">
      <w:pPr>
        <w:autoSpaceDE w:val="0"/>
        <w:autoSpaceDN w:val="0"/>
        <w:adjustRightInd w:val="0"/>
        <w:jc w:val="both"/>
        <w:rPr>
          <w:rFonts w:ascii="Liberation Serif" w:hAnsi="Liberation Serif"/>
          <w:sz w:val="24"/>
          <w:szCs w:val="24"/>
        </w:rPr>
      </w:pPr>
    </w:p>
    <w:p w14:paraId="004F2570" w14:textId="11BC060E" w:rsidR="000C6850" w:rsidRPr="0071564F" w:rsidRDefault="000C6850" w:rsidP="001F0E73">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I</w:t>
      </w:r>
      <w:r w:rsidR="00B24382" w:rsidRPr="0071564F">
        <w:rPr>
          <w:rFonts w:ascii="Liberation Serif" w:hAnsi="Liberation Serif"/>
          <w:sz w:val="24"/>
          <w:szCs w:val="24"/>
        </w:rPr>
        <w:t xml:space="preserve">NSTITUTO </w:t>
      </w:r>
      <w:r w:rsidRPr="0071564F">
        <w:rPr>
          <w:rFonts w:ascii="Liberation Serif" w:hAnsi="Liberation Serif"/>
          <w:sz w:val="24"/>
          <w:szCs w:val="24"/>
        </w:rPr>
        <w:t>N</w:t>
      </w:r>
      <w:r w:rsidR="00B24382" w:rsidRPr="0071564F">
        <w:rPr>
          <w:rFonts w:ascii="Liberation Serif" w:hAnsi="Liberation Serif"/>
          <w:sz w:val="24"/>
          <w:szCs w:val="24"/>
        </w:rPr>
        <w:t xml:space="preserve">ACIONAL DE </w:t>
      </w:r>
      <w:r w:rsidRPr="0071564F">
        <w:rPr>
          <w:rFonts w:ascii="Liberation Serif" w:hAnsi="Liberation Serif"/>
          <w:sz w:val="24"/>
          <w:szCs w:val="24"/>
        </w:rPr>
        <w:t>E</w:t>
      </w:r>
      <w:r w:rsidR="00B24382" w:rsidRPr="0071564F">
        <w:rPr>
          <w:rFonts w:ascii="Liberation Serif" w:hAnsi="Liberation Serif"/>
          <w:sz w:val="24"/>
          <w:szCs w:val="24"/>
        </w:rPr>
        <w:t>STUDOS E PESQUISAS EDUCACIONAIS</w:t>
      </w:r>
      <w:r w:rsidRPr="0071564F">
        <w:rPr>
          <w:rFonts w:ascii="Liberation Serif" w:hAnsi="Liberation Serif"/>
          <w:sz w:val="24"/>
          <w:szCs w:val="24"/>
        </w:rPr>
        <w:t xml:space="preserve"> ANÍSIO TEIXEIRA. </w:t>
      </w:r>
      <w:r w:rsidRPr="0071564F">
        <w:rPr>
          <w:rFonts w:ascii="Liberation Serif" w:hAnsi="Liberation Serif"/>
          <w:b/>
          <w:sz w:val="24"/>
          <w:szCs w:val="24"/>
        </w:rPr>
        <w:t xml:space="preserve">Sinopse Estatística da Educação Básica de 2007. </w:t>
      </w:r>
      <w:r w:rsidRPr="0071564F">
        <w:rPr>
          <w:rFonts w:ascii="Liberation Serif" w:hAnsi="Liberation Serif"/>
          <w:sz w:val="24"/>
          <w:szCs w:val="24"/>
        </w:rPr>
        <w:t xml:space="preserve">Brasília: INEP, 2019. Disponível em </w:t>
      </w:r>
      <w:hyperlink r:id="rId17" w:history="1">
        <w:r w:rsidRPr="0071564F">
          <w:rPr>
            <w:rStyle w:val="Hyperlink"/>
            <w:rFonts w:ascii="Liberation Serif" w:hAnsi="Liberation Serif"/>
            <w:color w:val="auto"/>
            <w:sz w:val="24"/>
            <w:szCs w:val="24"/>
          </w:rPr>
          <w:t>https://www.gov.br/inep/pt-br/acesso-a-informacao/dados-abertos/sinopses-estatisticas/educacao-basica</w:t>
        </w:r>
      </w:hyperlink>
      <w:r w:rsidRPr="0071564F">
        <w:rPr>
          <w:rFonts w:ascii="Liberation Serif" w:hAnsi="Liberation Serif"/>
          <w:sz w:val="24"/>
          <w:szCs w:val="24"/>
        </w:rPr>
        <w:t>. Acesso em: 19/05/2022.</w:t>
      </w:r>
    </w:p>
    <w:p w14:paraId="775BF208" w14:textId="77777777" w:rsidR="000C6850" w:rsidRPr="0071564F" w:rsidRDefault="000C6850" w:rsidP="001F0E73">
      <w:pPr>
        <w:autoSpaceDE w:val="0"/>
        <w:autoSpaceDN w:val="0"/>
        <w:adjustRightInd w:val="0"/>
        <w:ind w:firstLine="567"/>
        <w:jc w:val="both"/>
        <w:rPr>
          <w:rFonts w:ascii="Liberation Serif" w:hAnsi="Liberation Serif"/>
          <w:sz w:val="24"/>
          <w:szCs w:val="24"/>
        </w:rPr>
      </w:pPr>
    </w:p>
    <w:p w14:paraId="1490F1FB" w14:textId="4C54C515" w:rsidR="009C090D" w:rsidRPr="0071564F" w:rsidRDefault="009C090D" w:rsidP="009C090D">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INSTITUTO PAULO MONTENEGRO E AÇ</w:t>
      </w:r>
      <w:r w:rsidR="00A068C6" w:rsidRPr="0071564F">
        <w:rPr>
          <w:rFonts w:ascii="Liberation Serif" w:hAnsi="Liberation Serif"/>
          <w:sz w:val="24"/>
          <w:szCs w:val="24"/>
        </w:rPr>
        <w:t>Ã</w:t>
      </w:r>
      <w:r w:rsidRPr="0071564F">
        <w:rPr>
          <w:rFonts w:ascii="Liberation Serif" w:hAnsi="Liberation Serif"/>
          <w:sz w:val="24"/>
          <w:szCs w:val="24"/>
        </w:rPr>
        <w:t xml:space="preserve">O EDUCATIVA. </w:t>
      </w:r>
      <w:r w:rsidRPr="0071564F">
        <w:rPr>
          <w:rFonts w:ascii="Liberation Serif" w:hAnsi="Liberation Serif"/>
          <w:b/>
          <w:sz w:val="24"/>
          <w:szCs w:val="24"/>
        </w:rPr>
        <w:t xml:space="preserve">Indicador de Alfabetismo Funcional. </w:t>
      </w:r>
      <w:r w:rsidRPr="0071564F">
        <w:rPr>
          <w:rFonts w:ascii="Liberation Serif" w:hAnsi="Liberation Serif"/>
          <w:sz w:val="24"/>
          <w:szCs w:val="24"/>
        </w:rPr>
        <w:t>SP: Instituto Paulo Montenegro, 2015.</w:t>
      </w:r>
    </w:p>
    <w:p w14:paraId="6F6D01F8" w14:textId="77777777" w:rsidR="009C090D" w:rsidRPr="0071564F" w:rsidRDefault="009C090D" w:rsidP="00434045">
      <w:pPr>
        <w:autoSpaceDE w:val="0"/>
        <w:autoSpaceDN w:val="0"/>
        <w:adjustRightInd w:val="0"/>
        <w:jc w:val="both"/>
        <w:rPr>
          <w:rFonts w:ascii="Liberation Serif" w:hAnsi="Liberation Serif"/>
          <w:sz w:val="24"/>
          <w:szCs w:val="24"/>
        </w:rPr>
      </w:pPr>
    </w:p>
    <w:p w14:paraId="1AACD0F1" w14:textId="43F182CD" w:rsidR="000C6850" w:rsidRPr="0071564F" w:rsidRDefault="000C6850" w:rsidP="00434045">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 xml:space="preserve">INSTITUTO PAULO MONTENEGRO E AÇÃO EDUCATIVA. </w:t>
      </w:r>
      <w:r w:rsidRPr="0071564F">
        <w:rPr>
          <w:rFonts w:ascii="Liberation Serif" w:hAnsi="Liberation Serif"/>
          <w:b/>
          <w:sz w:val="24"/>
          <w:szCs w:val="24"/>
        </w:rPr>
        <w:t xml:space="preserve">Indicador de Alfabetismo Funcional. </w:t>
      </w:r>
      <w:r w:rsidRPr="0071564F">
        <w:rPr>
          <w:rFonts w:ascii="Liberation Serif" w:hAnsi="Liberation Serif"/>
          <w:sz w:val="24"/>
          <w:szCs w:val="24"/>
        </w:rPr>
        <w:t>SP: Instituto Paulo Montenegro, 2007.</w:t>
      </w:r>
    </w:p>
    <w:p w14:paraId="72D8799A" w14:textId="77777777" w:rsidR="000C6850" w:rsidRPr="0071564F" w:rsidRDefault="000C6850" w:rsidP="001F0E73">
      <w:pPr>
        <w:autoSpaceDE w:val="0"/>
        <w:autoSpaceDN w:val="0"/>
        <w:adjustRightInd w:val="0"/>
        <w:ind w:firstLine="567"/>
        <w:jc w:val="both"/>
        <w:rPr>
          <w:rFonts w:ascii="Liberation Serif" w:hAnsi="Liberation Serif"/>
          <w:sz w:val="24"/>
          <w:szCs w:val="24"/>
        </w:rPr>
      </w:pPr>
    </w:p>
    <w:p w14:paraId="0895B019" w14:textId="77777777" w:rsidR="000C6850" w:rsidRPr="0071564F" w:rsidRDefault="000C6850" w:rsidP="00434045">
      <w:pPr>
        <w:autoSpaceDE w:val="0"/>
        <w:autoSpaceDN w:val="0"/>
        <w:adjustRightInd w:val="0"/>
        <w:jc w:val="both"/>
        <w:rPr>
          <w:rFonts w:ascii="Liberation Serif" w:hAnsi="Liberation Serif"/>
          <w:sz w:val="24"/>
          <w:szCs w:val="24"/>
        </w:rPr>
      </w:pPr>
      <w:r w:rsidRPr="0071564F">
        <w:rPr>
          <w:rFonts w:ascii="Liberation Serif" w:hAnsi="Liberation Serif"/>
          <w:sz w:val="24"/>
          <w:szCs w:val="24"/>
        </w:rPr>
        <w:t>KUENZER, A. A educação profissional nos anos 2000:</w:t>
      </w:r>
      <w:r w:rsidRPr="0071564F">
        <w:rPr>
          <w:rFonts w:ascii="Liberation Serif" w:hAnsi="Liberation Serif"/>
          <w:b/>
          <w:sz w:val="24"/>
          <w:szCs w:val="24"/>
        </w:rPr>
        <w:t xml:space="preserve"> </w:t>
      </w:r>
      <w:r w:rsidRPr="0071564F">
        <w:rPr>
          <w:rFonts w:ascii="Liberation Serif" w:hAnsi="Liberation Serif"/>
          <w:sz w:val="24"/>
          <w:szCs w:val="24"/>
        </w:rPr>
        <w:t xml:space="preserve">a dimensão subordinada das políticas de inclusão. </w:t>
      </w:r>
      <w:r w:rsidRPr="0071564F">
        <w:rPr>
          <w:rFonts w:ascii="Liberation Serif" w:hAnsi="Liberation Serif"/>
          <w:b/>
          <w:sz w:val="24"/>
          <w:szCs w:val="24"/>
        </w:rPr>
        <w:t xml:space="preserve">Educação e Sociedade. </w:t>
      </w:r>
      <w:r w:rsidRPr="0071564F">
        <w:rPr>
          <w:rFonts w:ascii="Liberation Serif" w:hAnsi="Liberation Serif"/>
          <w:sz w:val="24"/>
          <w:szCs w:val="24"/>
        </w:rPr>
        <w:t>V. 27, n. 69, p. 877-910, out. 2006.</w:t>
      </w:r>
    </w:p>
    <w:p w14:paraId="71916387" w14:textId="77777777" w:rsidR="000C6850" w:rsidRPr="0071564F" w:rsidRDefault="000C6850" w:rsidP="001F0E73">
      <w:pPr>
        <w:autoSpaceDE w:val="0"/>
        <w:autoSpaceDN w:val="0"/>
        <w:adjustRightInd w:val="0"/>
        <w:ind w:firstLine="567"/>
        <w:jc w:val="both"/>
        <w:rPr>
          <w:rFonts w:ascii="Liberation Serif" w:hAnsi="Liberation Serif"/>
          <w:b/>
          <w:sz w:val="24"/>
          <w:szCs w:val="24"/>
        </w:rPr>
      </w:pPr>
    </w:p>
    <w:p w14:paraId="71A437F0" w14:textId="77777777" w:rsidR="000C6850" w:rsidRPr="0071564F" w:rsidRDefault="000C6850" w:rsidP="00434045">
      <w:pPr>
        <w:pStyle w:val="Default"/>
        <w:jc w:val="both"/>
        <w:rPr>
          <w:rFonts w:ascii="Liberation Serif" w:hAnsi="Liberation Serif"/>
          <w:color w:val="auto"/>
        </w:rPr>
      </w:pPr>
      <w:r w:rsidRPr="0071564F">
        <w:rPr>
          <w:rFonts w:ascii="Liberation Serif" w:hAnsi="Liberation Serif"/>
          <w:color w:val="auto"/>
        </w:rPr>
        <w:t xml:space="preserve">MELO, T. G. S., MOURA, D. H. O Programa Nacional de Acesso ao Ensino Técnico e Emprego (PRONATEC): expansão e privatização da educação profissional. </w:t>
      </w:r>
      <w:r w:rsidRPr="0071564F">
        <w:rPr>
          <w:rFonts w:ascii="Liberation Serif" w:hAnsi="Liberation Serif"/>
          <w:b/>
          <w:color w:val="auto"/>
        </w:rPr>
        <w:t xml:space="preserve">HOLOS, </w:t>
      </w:r>
      <w:r w:rsidRPr="0071564F">
        <w:rPr>
          <w:rFonts w:ascii="Liberation Serif" w:hAnsi="Liberation Serif"/>
          <w:color w:val="auto"/>
        </w:rPr>
        <w:t>RN, Ano 32, v. 6, p. 103-119, 2016.</w:t>
      </w:r>
    </w:p>
    <w:p w14:paraId="4402E2CE" w14:textId="77777777" w:rsidR="000C6850" w:rsidRPr="0071564F" w:rsidRDefault="000C6850" w:rsidP="001F0E73">
      <w:pPr>
        <w:pStyle w:val="Default"/>
        <w:ind w:firstLine="567"/>
        <w:jc w:val="both"/>
        <w:rPr>
          <w:rFonts w:ascii="Liberation Serif" w:hAnsi="Liberation Serif"/>
          <w:color w:val="auto"/>
        </w:rPr>
      </w:pPr>
    </w:p>
    <w:p w14:paraId="3DC3D2FA" w14:textId="77777777" w:rsidR="000C6850" w:rsidRPr="0071564F" w:rsidRDefault="000C6850" w:rsidP="00434045">
      <w:pPr>
        <w:pStyle w:val="Default"/>
        <w:jc w:val="both"/>
        <w:rPr>
          <w:rFonts w:ascii="Liberation Serif" w:hAnsi="Liberation Serif"/>
          <w:color w:val="auto"/>
        </w:rPr>
      </w:pPr>
      <w:r w:rsidRPr="0071564F">
        <w:rPr>
          <w:rFonts w:ascii="Liberation Serif" w:hAnsi="Liberation Serif"/>
          <w:color w:val="auto"/>
        </w:rPr>
        <w:t xml:space="preserve">RIBEIRO, Vera Masagão, CATELLI Jr., Roberto, HADDAD, Sérgio (orgs.). </w:t>
      </w:r>
      <w:r w:rsidRPr="0071564F">
        <w:rPr>
          <w:rFonts w:ascii="Liberation Serif" w:hAnsi="Liberation Serif"/>
          <w:b/>
          <w:color w:val="auto"/>
        </w:rPr>
        <w:t xml:space="preserve">Avaliação da EJA no Brasil: </w:t>
      </w:r>
      <w:r w:rsidRPr="0071564F">
        <w:rPr>
          <w:rFonts w:ascii="Liberation Serif" w:hAnsi="Liberation Serif"/>
          <w:color w:val="auto"/>
        </w:rPr>
        <w:t>insumos, processos, resultados. Brasília: Instituto Nacional de Estudos e Pesquisas Anísio Teixeira, 2015.</w:t>
      </w:r>
    </w:p>
    <w:p w14:paraId="1C818801" w14:textId="77777777" w:rsidR="000C6850" w:rsidRPr="0071564F" w:rsidRDefault="000C6850" w:rsidP="001F0E73">
      <w:pPr>
        <w:pStyle w:val="Default"/>
        <w:ind w:firstLine="567"/>
        <w:jc w:val="both"/>
        <w:rPr>
          <w:rFonts w:ascii="Liberation Serif" w:hAnsi="Liberation Serif"/>
          <w:color w:val="auto"/>
        </w:rPr>
      </w:pPr>
    </w:p>
    <w:p w14:paraId="304B5745" w14:textId="77777777" w:rsidR="000C6850" w:rsidRPr="0071564F" w:rsidRDefault="000C6850" w:rsidP="00434045">
      <w:pPr>
        <w:pStyle w:val="Default"/>
        <w:jc w:val="both"/>
        <w:rPr>
          <w:rFonts w:ascii="Liberation Serif" w:hAnsi="Liberation Serif"/>
          <w:color w:val="auto"/>
        </w:rPr>
      </w:pPr>
      <w:r w:rsidRPr="0071564F">
        <w:rPr>
          <w:rFonts w:ascii="Liberation Serif" w:hAnsi="Liberation Serif" w:cs="Times New Roman"/>
          <w:color w:val="auto"/>
        </w:rPr>
        <w:t xml:space="preserve">RUMMERT, Sônia Maria. A educação de jovens e adultos trabalhadores brasileiros no século XXI. O “novo” que reitera antiga destituição de direitos. </w:t>
      </w:r>
      <w:r w:rsidRPr="0071564F">
        <w:rPr>
          <w:rFonts w:ascii="Liberation Serif" w:hAnsi="Liberation Serif" w:cs="Times New Roman"/>
          <w:b/>
          <w:color w:val="auto"/>
        </w:rPr>
        <w:t>Sísifo – Revista Ciências da</w:t>
      </w:r>
      <w:r w:rsidRPr="0071564F">
        <w:rPr>
          <w:rFonts w:ascii="Liberation Serif" w:hAnsi="Liberation Serif" w:cs="Times New Roman"/>
          <w:color w:val="auto"/>
        </w:rPr>
        <w:t xml:space="preserve"> </w:t>
      </w:r>
      <w:r w:rsidRPr="0071564F">
        <w:rPr>
          <w:rFonts w:ascii="Liberation Serif" w:hAnsi="Liberation Serif" w:cs="Times New Roman"/>
          <w:b/>
          <w:color w:val="auto"/>
        </w:rPr>
        <w:t xml:space="preserve">Educação, </w:t>
      </w:r>
      <w:r w:rsidRPr="0071564F">
        <w:rPr>
          <w:rFonts w:ascii="Liberation Serif" w:hAnsi="Liberation Serif" w:cs="Times New Roman"/>
          <w:color w:val="auto"/>
        </w:rPr>
        <w:t>nº 2, p. 35-50, jan.-abr. de 2007.</w:t>
      </w:r>
    </w:p>
    <w:p w14:paraId="555FC1CA" w14:textId="77777777" w:rsidR="000C6850" w:rsidRPr="0071564F" w:rsidRDefault="000C6850" w:rsidP="001F0E73">
      <w:pPr>
        <w:pStyle w:val="Default"/>
        <w:ind w:firstLine="567"/>
        <w:jc w:val="both"/>
        <w:rPr>
          <w:rFonts w:ascii="Liberation Serif" w:hAnsi="Liberation Serif" w:cs="Times New Roman"/>
          <w:color w:val="auto"/>
        </w:rPr>
      </w:pPr>
    </w:p>
    <w:p w14:paraId="559A4669" w14:textId="77777777" w:rsidR="000C6850" w:rsidRPr="0071564F" w:rsidRDefault="000C6850" w:rsidP="00434045">
      <w:pPr>
        <w:autoSpaceDE w:val="0"/>
        <w:autoSpaceDN w:val="0"/>
        <w:adjustRightInd w:val="0"/>
        <w:jc w:val="both"/>
        <w:rPr>
          <w:rFonts w:ascii="Liberation Serif" w:hAnsi="Liberation Serif" w:cs="Times New Roman"/>
          <w:sz w:val="24"/>
          <w:szCs w:val="24"/>
        </w:rPr>
      </w:pPr>
      <w:r w:rsidRPr="0071564F">
        <w:rPr>
          <w:rFonts w:ascii="Liberation Serif" w:hAnsi="Liberation Serif" w:cs="Times New Roman"/>
          <w:sz w:val="24"/>
          <w:szCs w:val="24"/>
        </w:rPr>
        <w:t xml:space="preserve">RUMMERT, Sônia Maria e VENTURA, Jacqueline Pereira. Políticas públicas para a educação de jovens e adultos no Brasil: a permanente (re) construção da subalternidade – considerações sobre os Programas Brasil Alfabetizado e Fazendo Escola. </w:t>
      </w:r>
      <w:r w:rsidRPr="0071564F">
        <w:rPr>
          <w:rFonts w:ascii="Liberation Serif" w:hAnsi="Liberation Serif" w:cs="Times New Roman"/>
          <w:b/>
          <w:sz w:val="24"/>
          <w:szCs w:val="24"/>
        </w:rPr>
        <w:t xml:space="preserve">Educar, </w:t>
      </w:r>
      <w:r w:rsidRPr="0071564F">
        <w:rPr>
          <w:rFonts w:ascii="Liberation Serif" w:hAnsi="Liberation Serif" w:cs="Times New Roman"/>
          <w:sz w:val="24"/>
          <w:szCs w:val="24"/>
        </w:rPr>
        <w:t xml:space="preserve">Curitiba, p. 29-45, 2007, Editora UFPR. </w:t>
      </w:r>
    </w:p>
    <w:p w14:paraId="1A8C16CB" w14:textId="77777777" w:rsidR="000C6850" w:rsidRPr="0071564F" w:rsidRDefault="000C6850" w:rsidP="001F0E73">
      <w:pPr>
        <w:autoSpaceDE w:val="0"/>
        <w:autoSpaceDN w:val="0"/>
        <w:adjustRightInd w:val="0"/>
        <w:ind w:firstLine="567"/>
        <w:jc w:val="both"/>
        <w:rPr>
          <w:rFonts w:ascii="Liberation Serif" w:hAnsi="Liberation Serif" w:cs="Times New Roman"/>
          <w:sz w:val="24"/>
          <w:szCs w:val="24"/>
        </w:rPr>
      </w:pPr>
    </w:p>
    <w:p w14:paraId="0B532BC3" w14:textId="77777777" w:rsidR="000C6850" w:rsidRPr="0071564F" w:rsidRDefault="000C6850" w:rsidP="00434045">
      <w:pPr>
        <w:autoSpaceDE w:val="0"/>
        <w:autoSpaceDN w:val="0"/>
        <w:adjustRightInd w:val="0"/>
        <w:jc w:val="both"/>
        <w:rPr>
          <w:rFonts w:ascii="Liberation Serif" w:hAnsi="Liberation Serif" w:cs="Times New Roman"/>
          <w:sz w:val="24"/>
          <w:szCs w:val="24"/>
        </w:rPr>
      </w:pPr>
      <w:r w:rsidRPr="0071564F">
        <w:rPr>
          <w:rFonts w:ascii="Liberation Serif" w:hAnsi="Liberation Serif" w:cs="Times New Roman"/>
          <w:sz w:val="24"/>
          <w:szCs w:val="24"/>
        </w:rPr>
        <w:t xml:space="preserve">RUMMERT, Sônia Maria, BILIO, Rafael de Lima e Gaspar, Leandro da Silva. </w:t>
      </w:r>
      <w:r w:rsidRPr="0071564F">
        <w:rPr>
          <w:rFonts w:ascii="Liberation Serif" w:hAnsi="Liberation Serif" w:cs="Times New Roman"/>
          <w:b/>
          <w:sz w:val="24"/>
          <w:szCs w:val="24"/>
        </w:rPr>
        <w:t>PROJOVEM URBANO:</w:t>
      </w:r>
      <w:r w:rsidRPr="0071564F">
        <w:rPr>
          <w:rFonts w:ascii="Liberation Serif" w:hAnsi="Liberation Serif" w:cs="Times New Roman"/>
          <w:sz w:val="24"/>
          <w:szCs w:val="24"/>
        </w:rPr>
        <w:t xml:space="preserve"> a política transitória e emergencial como marca sócio-histórica na educação de jovens e adultos. In: BOMFIM, Maria Inês e RUMMERT, Sônia Maria. </w:t>
      </w:r>
      <w:r w:rsidRPr="0071564F">
        <w:rPr>
          <w:rFonts w:ascii="Liberation Serif" w:hAnsi="Liberation Serif" w:cs="Times New Roman"/>
          <w:b/>
          <w:sz w:val="24"/>
          <w:szCs w:val="24"/>
        </w:rPr>
        <w:t xml:space="preserve">Educação de Jovens e Adultos da classe trabalhadora: </w:t>
      </w:r>
      <w:r w:rsidRPr="0071564F">
        <w:rPr>
          <w:rFonts w:ascii="Liberation Serif" w:hAnsi="Liberation Serif" w:cs="Times New Roman"/>
          <w:sz w:val="24"/>
          <w:szCs w:val="24"/>
        </w:rPr>
        <w:t>“Novos” projetos, antigas disputas. Curitiba, PR: CRV, 2017.</w:t>
      </w:r>
    </w:p>
    <w:p w14:paraId="10C28C4B" w14:textId="77777777" w:rsidR="000C6850" w:rsidRPr="0071564F" w:rsidRDefault="000C6850" w:rsidP="001F0E73">
      <w:pPr>
        <w:autoSpaceDE w:val="0"/>
        <w:autoSpaceDN w:val="0"/>
        <w:adjustRightInd w:val="0"/>
        <w:ind w:firstLine="567"/>
        <w:jc w:val="both"/>
        <w:rPr>
          <w:rFonts w:ascii="Liberation Serif" w:hAnsi="Liberation Serif" w:cs="Times New Roman"/>
          <w:sz w:val="24"/>
          <w:szCs w:val="24"/>
        </w:rPr>
      </w:pPr>
    </w:p>
    <w:p w14:paraId="128CD26B" w14:textId="77777777" w:rsidR="000C6850" w:rsidRPr="0071564F" w:rsidRDefault="000C6850" w:rsidP="003015F3">
      <w:pPr>
        <w:autoSpaceDE w:val="0"/>
        <w:autoSpaceDN w:val="0"/>
        <w:adjustRightInd w:val="0"/>
        <w:jc w:val="both"/>
        <w:rPr>
          <w:rFonts w:ascii="Liberation Serif" w:hAnsi="Liberation Serif" w:cs="Times New Roman"/>
          <w:sz w:val="24"/>
          <w:szCs w:val="24"/>
        </w:rPr>
      </w:pPr>
      <w:r w:rsidRPr="0071564F">
        <w:rPr>
          <w:rFonts w:ascii="Liberation Serif" w:hAnsi="Liberation Serif" w:cs="Times New Roman"/>
          <w:sz w:val="24"/>
          <w:szCs w:val="24"/>
        </w:rPr>
        <w:t xml:space="preserve">SAVIANI, Demerval. O Plano de Desenvolvimento da Educação: análise do projeto do MEC. </w:t>
      </w:r>
      <w:r w:rsidRPr="0071564F">
        <w:rPr>
          <w:rFonts w:ascii="Liberation Serif" w:hAnsi="Liberation Serif" w:cs="Times New Roman"/>
          <w:b/>
          <w:sz w:val="24"/>
          <w:szCs w:val="24"/>
        </w:rPr>
        <w:t xml:space="preserve">Educação e Sociedade, </w:t>
      </w:r>
      <w:r w:rsidRPr="0071564F">
        <w:rPr>
          <w:rFonts w:ascii="Liberation Serif" w:hAnsi="Liberation Serif" w:cs="Times New Roman"/>
          <w:sz w:val="24"/>
          <w:szCs w:val="24"/>
        </w:rPr>
        <w:t>Campinas, v. 28, nº 100 – Especial, p. 1231-55, out. de 2007.</w:t>
      </w:r>
    </w:p>
    <w:p w14:paraId="0118DCF4" w14:textId="77777777" w:rsidR="003015F3" w:rsidRPr="0071564F" w:rsidRDefault="003015F3" w:rsidP="003015F3">
      <w:pPr>
        <w:autoSpaceDE w:val="0"/>
        <w:autoSpaceDN w:val="0"/>
        <w:adjustRightInd w:val="0"/>
        <w:jc w:val="both"/>
        <w:rPr>
          <w:rFonts w:ascii="Liberation Serif" w:hAnsi="Liberation Serif" w:cs="Times New Roman"/>
          <w:sz w:val="24"/>
          <w:szCs w:val="24"/>
        </w:rPr>
      </w:pPr>
    </w:p>
    <w:p w14:paraId="3F711D0D" w14:textId="0DC74A54" w:rsidR="000C6850" w:rsidRPr="0071564F" w:rsidRDefault="003015F3" w:rsidP="003015F3">
      <w:pPr>
        <w:autoSpaceDE w:val="0"/>
        <w:autoSpaceDN w:val="0"/>
        <w:adjustRightInd w:val="0"/>
        <w:jc w:val="both"/>
        <w:rPr>
          <w:rFonts w:ascii="Liberation Serif" w:hAnsi="Liberation Serif" w:cs="Times New Roman"/>
          <w:sz w:val="24"/>
          <w:szCs w:val="24"/>
        </w:rPr>
      </w:pPr>
      <w:r w:rsidRPr="0071564F">
        <w:rPr>
          <w:rFonts w:ascii="Liberation Serif" w:hAnsi="Liberation Serif" w:cs="Times New Roman"/>
          <w:sz w:val="24"/>
          <w:szCs w:val="24"/>
        </w:rPr>
        <w:t>SAVIANI, D</w:t>
      </w:r>
      <w:r w:rsidR="008453D6" w:rsidRPr="0071564F">
        <w:rPr>
          <w:rFonts w:ascii="Liberation Serif" w:hAnsi="Liberation Serif" w:cs="Times New Roman"/>
          <w:sz w:val="24"/>
          <w:szCs w:val="24"/>
        </w:rPr>
        <w:t>memerval</w:t>
      </w:r>
      <w:r w:rsidRPr="0071564F">
        <w:rPr>
          <w:rFonts w:ascii="Liberation Serif" w:hAnsi="Liberation Serif" w:cs="Times New Roman"/>
          <w:sz w:val="24"/>
          <w:szCs w:val="24"/>
        </w:rPr>
        <w:t>.</w:t>
      </w:r>
      <w:r w:rsidR="000C6850" w:rsidRPr="0071564F">
        <w:rPr>
          <w:rFonts w:ascii="Liberation Serif" w:hAnsi="Liberation Serif" w:cs="Times New Roman"/>
          <w:sz w:val="24"/>
          <w:szCs w:val="24"/>
        </w:rPr>
        <w:t xml:space="preserve"> </w:t>
      </w:r>
      <w:r w:rsidR="000C6850" w:rsidRPr="0071564F">
        <w:rPr>
          <w:rFonts w:ascii="Liberation Serif" w:hAnsi="Liberation Serif" w:cs="Times New Roman"/>
          <w:b/>
          <w:sz w:val="24"/>
          <w:szCs w:val="24"/>
        </w:rPr>
        <w:t xml:space="preserve">História das ideias pedagógicas no Brasil. </w:t>
      </w:r>
      <w:r w:rsidR="000C6850" w:rsidRPr="0071564F">
        <w:rPr>
          <w:rFonts w:ascii="Liberation Serif" w:hAnsi="Liberation Serif" w:cs="Times New Roman"/>
          <w:sz w:val="24"/>
          <w:szCs w:val="24"/>
        </w:rPr>
        <w:t>Campinas, SP: Autores Associados, 2013, 4ª edição.</w:t>
      </w:r>
    </w:p>
    <w:p w14:paraId="71744ED1" w14:textId="77777777" w:rsidR="000C6850" w:rsidRPr="0071564F" w:rsidRDefault="000C6850" w:rsidP="001F0E73">
      <w:pPr>
        <w:autoSpaceDE w:val="0"/>
        <w:autoSpaceDN w:val="0"/>
        <w:adjustRightInd w:val="0"/>
        <w:ind w:firstLine="567"/>
        <w:jc w:val="both"/>
        <w:rPr>
          <w:rFonts w:ascii="Liberation Serif" w:hAnsi="Liberation Serif" w:cs="Times New Roman"/>
          <w:sz w:val="24"/>
          <w:szCs w:val="24"/>
        </w:rPr>
      </w:pPr>
    </w:p>
    <w:p w14:paraId="160092A0" w14:textId="40F22847" w:rsidR="000C6850" w:rsidRPr="0071564F" w:rsidRDefault="000C6850" w:rsidP="003015F3">
      <w:pPr>
        <w:autoSpaceDE w:val="0"/>
        <w:autoSpaceDN w:val="0"/>
        <w:adjustRightInd w:val="0"/>
        <w:jc w:val="both"/>
        <w:rPr>
          <w:rFonts w:ascii="Liberation Serif" w:hAnsi="Liberation Serif" w:cs="Times New Roman"/>
          <w:sz w:val="24"/>
          <w:szCs w:val="24"/>
        </w:rPr>
      </w:pPr>
      <w:r w:rsidRPr="0071564F">
        <w:rPr>
          <w:rFonts w:ascii="Liberation Serif" w:hAnsi="Liberation Serif" w:cs="Times New Roman"/>
          <w:sz w:val="24"/>
          <w:szCs w:val="24"/>
        </w:rPr>
        <w:lastRenderedPageBreak/>
        <w:t xml:space="preserve">SILVA, Ana Carolina Brugger. </w:t>
      </w:r>
      <w:r w:rsidRPr="0071564F">
        <w:rPr>
          <w:rFonts w:ascii="Liberation Serif" w:hAnsi="Liberation Serif" w:cs="Times New Roman"/>
          <w:b/>
          <w:sz w:val="24"/>
          <w:szCs w:val="24"/>
        </w:rPr>
        <w:t xml:space="preserve">Cidadania, formação social brasileira e a relação com a educação de jovens e adultos: </w:t>
      </w:r>
      <w:r w:rsidRPr="0071564F">
        <w:rPr>
          <w:rFonts w:ascii="Liberation Serif" w:hAnsi="Liberation Serif" w:cs="Times New Roman"/>
          <w:sz w:val="24"/>
          <w:szCs w:val="24"/>
        </w:rPr>
        <w:t xml:space="preserve">o caso do PROEJA. Dissertação </w:t>
      </w:r>
      <w:r w:rsidR="001A0570" w:rsidRPr="0071564F">
        <w:rPr>
          <w:rFonts w:ascii="Liberation Serif" w:hAnsi="Liberation Serif" w:cs="Times New Roman"/>
          <w:sz w:val="24"/>
          <w:szCs w:val="24"/>
        </w:rPr>
        <w:t>(</w:t>
      </w:r>
      <w:r w:rsidRPr="0071564F">
        <w:rPr>
          <w:rFonts w:ascii="Liberation Serif" w:hAnsi="Liberation Serif" w:cs="Times New Roman"/>
          <w:sz w:val="24"/>
          <w:szCs w:val="24"/>
        </w:rPr>
        <w:t>Mestrado</w:t>
      </w:r>
      <w:r w:rsidR="001A0570" w:rsidRPr="0071564F">
        <w:rPr>
          <w:rFonts w:ascii="Liberation Serif" w:hAnsi="Liberation Serif" w:cs="Times New Roman"/>
          <w:sz w:val="24"/>
          <w:szCs w:val="24"/>
        </w:rPr>
        <w:t xml:space="preserve"> em Educação)</w:t>
      </w:r>
      <w:r w:rsidRPr="0071564F">
        <w:rPr>
          <w:rFonts w:ascii="Liberation Serif" w:hAnsi="Liberation Serif" w:cs="Times New Roman"/>
          <w:sz w:val="24"/>
          <w:szCs w:val="24"/>
        </w:rPr>
        <w:t>. Faculdade de Educação da Universidade Federal de Juiz de Fora, 2015.</w:t>
      </w:r>
    </w:p>
    <w:p w14:paraId="2F05D0C7" w14:textId="77777777" w:rsidR="000C6850" w:rsidRPr="0071564F" w:rsidRDefault="000C6850" w:rsidP="001F0E73">
      <w:pPr>
        <w:autoSpaceDE w:val="0"/>
        <w:autoSpaceDN w:val="0"/>
        <w:adjustRightInd w:val="0"/>
        <w:ind w:firstLine="567"/>
        <w:jc w:val="both"/>
        <w:rPr>
          <w:rFonts w:ascii="Liberation Serif" w:hAnsi="Liberation Serif" w:cs="Times New Roman"/>
          <w:sz w:val="24"/>
          <w:szCs w:val="24"/>
        </w:rPr>
      </w:pPr>
    </w:p>
    <w:p w14:paraId="3FA646C4" w14:textId="72670AC8" w:rsidR="009C63B1" w:rsidRPr="004B770E" w:rsidRDefault="000C6850" w:rsidP="00B24382">
      <w:pPr>
        <w:pBdr>
          <w:top w:val="nil"/>
          <w:left w:val="nil"/>
          <w:bottom w:val="nil"/>
          <w:right w:val="nil"/>
          <w:between w:val="nil"/>
        </w:pBdr>
        <w:jc w:val="both"/>
        <w:rPr>
          <w:rFonts w:ascii="Liberation Serif" w:eastAsia="Times New Roman" w:hAnsi="Liberation Serif" w:cs="Times New Roman"/>
          <w:sz w:val="24"/>
          <w:szCs w:val="24"/>
          <w:lang w:val="en-US"/>
        </w:rPr>
      </w:pPr>
      <w:r w:rsidRPr="0071564F">
        <w:rPr>
          <w:rFonts w:ascii="Liberation Serif" w:hAnsi="Liberation Serif" w:cs="Times New Roman"/>
          <w:sz w:val="24"/>
          <w:szCs w:val="24"/>
        </w:rPr>
        <w:t xml:space="preserve">VENTURA, Jaqueline, LESSA, Ludmila Lustosa e SOUZA, Samantha Castro Vieira de. </w:t>
      </w:r>
      <w:r w:rsidRPr="0071564F">
        <w:rPr>
          <w:rFonts w:ascii="Liberation Serif" w:hAnsi="Liberation Serif" w:cs="Times New Roman"/>
          <w:b/>
          <w:sz w:val="24"/>
          <w:szCs w:val="24"/>
        </w:rPr>
        <w:t xml:space="preserve">O PRONATEC e a (com)formação do trabalhador: </w:t>
      </w:r>
      <w:r w:rsidRPr="0071564F">
        <w:rPr>
          <w:rFonts w:ascii="Liberation Serif" w:hAnsi="Liberation Serif" w:cs="Times New Roman"/>
          <w:sz w:val="24"/>
          <w:szCs w:val="24"/>
        </w:rPr>
        <w:t xml:space="preserve">a privatização da educação profissional e o rebaixamento da formação humana. In: BOMFIM, Maria Inês e RUMMERT, Sônia Maria. </w:t>
      </w:r>
      <w:r w:rsidRPr="0071564F">
        <w:rPr>
          <w:rFonts w:ascii="Liberation Serif" w:hAnsi="Liberation Serif" w:cs="Times New Roman"/>
          <w:b/>
          <w:sz w:val="24"/>
          <w:szCs w:val="24"/>
        </w:rPr>
        <w:t xml:space="preserve">Educação de Jovens e Adultos da classe trabalhadora: </w:t>
      </w:r>
      <w:r w:rsidRPr="0071564F">
        <w:rPr>
          <w:rFonts w:ascii="Liberation Serif" w:hAnsi="Liberation Serif" w:cs="Times New Roman"/>
          <w:sz w:val="24"/>
          <w:szCs w:val="24"/>
        </w:rPr>
        <w:t xml:space="preserve">“Novos” projetos, antigas disputas. </w:t>
      </w:r>
      <w:r w:rsidRPr="004B770E">
        <w:rPr>
          <w:rFonts w:ascii="Liberation Serif" w:hAnsi="Liberation Serif" w:cs="Times New Roman"/>
          <w:sz w:val="24"/>
          <w:szCs w:val="24"/>
          <w:lang w:val="en-US"/>
        </w:rPr>
        <w:t>Curitiba, PR: CRV, 2017.</w:t>
      </w:r>
    </w:p>
    <w:p w14:paraId="33FCC278" w14:textId="02BD526F" w:rsidR="00495B5B" w:rsidRPr="004B770E" w:rsidRDefault="00495B5B">
      <w:pPr>
        <w:pBdr>
          <w:top w:val="nil"/>
          <w:left w:val="nil"/>
          <w:bottom w:val="nil"/>
          <w:right w:val="nil"/>
          <w:between w:val="nil"/>
        </w:pBdr>
        <w:spacing w:after="120"/>
        <w:jc w:val="both"/>
        <w:rPr>
          <w:rFonts w:ascii="Liberation Serif" w:eastAsia="Times New Roman" w:hAnsi="Liberation Serif" w:cs="Times New Roman"/>
          <w:sz w:val="24"/>
          <w:szCs w:val="24"/>
          <w:lang w:val="en-US"/>
        </w:rPr>
      </w:pPr>
    </w:p>
    <w:p w14:paraId="341021D3" w14:textId="69EE69A7" w:rsidR="00495B5B" w:rsidRPr="004B770E" w:rsidRDefault="00495B5B">
      <w:pPr>
        <w:pBdr>
          <w:top w:val="nil"/>
          <w:left w:val="nil"/>
          <w:bottom w:val="nil"/>
          <w:right w:val="nil"/>
          <w:between w:val="nil"/>
        </w:pBdr>
        <w:spacing w:after="120"/>
        <w:jc w:val="both"/>
        <w:rPr>
          <w:rFonts w:ascii="Liberation Serif" w:eastAsia="Times New Roman" w:hAnsi="Liberation Serif" w:cs="Times New Roman"/>
          <w:sz w:val="24"/>
          <w:szCs w:val="24"/>
          <w:lang w:val="en-US"/>
        </w:rPr>
      </w:pPr>
    </w:p>
    <w:p w14:paraId="7A581FE1" w14:textId="77777777" w:rsidR="00495B5B" w:rsidRPr="004B770E" w:rsidRDefault="00495B5B">
      <w:pPr>
        <w:pBdr>
          <w:top w:val="nil"/>
          <w:left w:val="nil"/>
          <w:bottom w:val="nil"/>
          <w:right w:val="nil"/>
          <w:between w:val="nil"/>
        </w:pBdr>
        <w:spacing w:after="120"/>
        <w:jc w:val="both"/>
        <w:rPr>
          <w:rFonts w:ascii="Liberation Serif" w:eastAsia="Times New Roman" w:hAnsi="Liberation Serif" w:cs="Times New Roman"/>
          <w:sz w:val="24"/>
          <w:szCs w:val="24"/>
          <w:lang w:val="en-US"/>
        </w:rPr>
      </w:pPr>
    </w:p>
    <w:p w14:paraId="351B8B64" w14:textId="77777777" w:rsidR="009C63B1" w:rsidRPr="004B770E" w:rsidRDefault="00D37CE1">
      <w:pPr>
        <w:jc w:val="both"/>
        <w:rPr>
          <w:rFonts w:ascii="Liberation Serif" w:eastAsia="Liberation Serif" w:hAnsi="Liberation Serif" w:cs="Liberation Serif"/>
          <w:sz w:val="24"/>
          <w:szCs w:val="24"/>
          <w:lang w:val="en-US"/>
        </w:rPr>
      </w:pPr>
      <w:r w:rsidRPr="004B770E">
        <w:rPr>
          <w:rFonts w:ascii="Liberation Serif" w:eastAsia="Liberation Serif" w:hAnsi="Liberation Serif" w:cs="Liberation Serif"/>
          <w:sz w:val="24"/>
          <w:szCs w:val="24"/>
          <w:lang w:val="en-US"/>
        </w:rPr>
        <w:t>__________________</w:t>
      </w:r>
    </w:p>
    <w:p w14:paraId="7CBF47D4" w14:textId="77777777" w:rsidR="009C63B1" w:rsidRPr="004B770E" w:rsidRDefault="009C63B1">
      <w:pPr>
        <w:jc w:val="both"/>
        <w:rPr>
          <w:rFonts w:ascii="Liberation Serif" w:eastAsia="Liberation Serif" w:hAnsi="Liberation Serif" w:cs="Liberation Serif"/>
          <w:sz w:val="24"/>
          <w:szCs w:val="24"/>
          <w:lang w:val="en-US"/>
        </w:rPr>
      </w:pPr>
    </w:p>
    <w:p w14:paraId="51337B50" w14:textId="0346BCE9" w:rsidR="009C63B1" w:rsidRPr="00C84EC7" w:rsidRDefault="00D37CE1">
      <w:pPr>
        <w:shd w:val="clear" w:color="auto" w:fill="FFFFFF"/>
        <w:jc w:val="both"/>
        <w:rPr>
          <w:rFonts w:ascii="Liberation Serif" w:eastAsia="Times New Roman" w:hAnsi="Liberation Serif" w:cs="Times New Roman"/>
          <w:sz w:val="24"/>
          <w:szCs w:val="24"/>
          <w:lang w:val="en-US"/>
        </w:rPr>
      </w:pPr>
      <w:r w:rsidRPr="000A6321">
        <w:rPr>
          <w:rFonts w:ascii="Liberation Serif" w:eastAsia="Times New Roman" w:hAnsi="Liberation Serif" w:cs="Times New Roman"/>
          <w:noProof/>
          <w:sz w:val="24"/>
          <w:szCs w:val="24"/>
        </w:rPr>
        <w:drawing>
          <wp:inline distT="0" distB="0" distL="114300" distR="114300" wp14:anchorId="3D3BAC81" wp14:editId="3555AFCC">
            <wp:extent cx="838200" cy="295275"/>
            <wp:effectExtent l="0" t="0" r="0" b="0"/>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838200" cy="295275"/>
                    </a:xfrm>
                    <a:prstGeom prst="rect">
                      <a:avLst/>
                    </a:prstGeom>
                    <a:ln/>
                  </pic:spPr>
                </pic:pic>
              </a:graphicData>
            </a:graphic>
          </wp:inline>
        </w:drawing>
      </w:r>
      <w:r w:rsidRPr="00C84EC7">
        <w:rPr>
          <w:rFonts w:ascii="Liberation Serif" w:eastAsia="Century Gothic" w:hAnsi="Liberation Serif" w:cs="Century Gothic"/>
          <w:color w:val="00B050"/>
          <w:sz w:val="24"/>
          <w:szCs w:val="24"/>
          <w:lang w:val="en-US"/>
        </w:rPr>
        <w:t xml:space="preserve"> </w:t>
      </w:r>
      <w:r w:rsidR="00C84EC7" w:rsidRPr="00C84EC7">
        <w:rPr>
          <w:rFonts w:ascii="Liberation Serif" w:eastAsia="Century Gothic" w:hAnsi="Liberation Serif" w:cs="Century Gothic"/>
          <w:sz w:val="24"/>
          <w:szCs w:val="24"/>
          <w:lang w:val="en-US"/>
        </w:rPr>
        <w:t xml:space="preserve">The licensing rights used by the journal Education in Focus is the Creative CommonsAttribution-NonCommercial 4.0 International license </w:t>
      </w:r>
      <w:r w:rsidRPr="00C84EC7">
        <w:rPr>
          <w:rFonts w:ascii="Liberation Serif" w:eastAsia="Century Gothic" w:hAnsi="Liberation Serif" w:cs="Century Gothic"/>
          <w:sz w:val="24"/>
          <w:szCs w:val="24"/>
          <w:lang w:val="en-US"/>
        </w:rPr>
        <w:t>(CC BY-NC-SA 4.0)</w:t>
      </w:r>
    </w:p>
    <w:p w14:paraId="27822993" w14:textId="4781BB87" w:rsidR="00495B5B" w:rsidRDefault="00495B5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703FCB0" w14:textId="4F01D330" w:rsidR="00495B5B" w:rsidRDefault="00495B5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40FBDD2" w14:textId="3AF1CB8D" w:rsidR="00495B5B" w:rsidRDefault="00495B5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2D586567" w14:textId="3336E5A2" w:rsidR="00495B5B" w:rsidRDefault="00495B5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C145343" w14:textId="77777777" w:rsidR="00495B5B" w:rsidRDefault="00495B5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428DC77" w14:textId="77777777" w:rsidR="009C63B1" w:rsidRDefault="009C63B1">
      <w:pPr>
        <w:pBdr>
          <w:top w:val="nil"/>
          <w:left w:val="nil"/>
          <w:bottom w:val="nil"/>
          <w:right w:val="nil"/>
          <w:between w:val="nil"/>
        </w:pBdr>
        <w:jc w:val="right"/>
        <w:rPr>
          <w:rFonts w:ascii="Times New Roman" w:eastAsia="Times New Roman" w:hAnsi="Times New Roman" w:cs="Times New Roman"/>
          <w:color w:val="000000"/>
          <w:sz w:val="24"/>
          <w:szCs w:val="24"/>
        </w:rPr>
      </w:pPr>
    </w:p>
    <w:p w14:paraId="3E9EADF4" w14:textId="77777777" w:rsidR="009C63B1" w:rsidRDefault="009C63B1">
      <w:pPr>
        <w:pBdr>
          <w:top w:val="nil"/>
          <w:left w:val="nil"/>
          <w:bottom w:val="nil"/>
          <w:right w:val="nil"/>
          <w:between w:val="nil"/>
        </w:pBdr>
        <w:jc w:val="right"/>
        <w:rPr>
          <w:rFonts w:ascii="Times New Roman" w:eastAsia="Times New Roman" w:hAnsi="Times New Roman" w:cs="Times New Roman"/>
          <w:color w:val="000000"/>
          <w:sz w:val="24"/>
          <w:szCs w:val="24"/>
        </w:rPr>
      </w:pPr>
    </w:p>
    <w:p w14:paraId="3E4C9615" w14:textId="77777777" w:rsidR="004B770E" w:rsidRDefault="004B770E" w:rsidP="004B770E">
      <w:pPr>
        <w:pBdr>
          <w:top w:val="nil"/>
          <w:left w:val="nil"/>
          <w:bottom w:val="nil"/>
          <w:right w:val="nil"/>
          <w:between w:val="nil"/>
        </w:pBdr>
        <w:jc w:val="right"/>
        <w:rPr>
          <w:rFonts w:ascii="Times New Roman" w:eastAsia="Times New Roman" w:hAnsi="Times New Roman" w:cs="Times New Roman"/>
          <w:color w:val="000000"/>
          <w:sz w:val="24"/>
          <w:szCs w:val="24"/>
        </w:rPr>
      </w:pPr>
      <w:r w:rsidRPr="004B770E">
        <w:rPr>
          <w:rFonts w:ascii="Times New Roman" w:eastAsia="Times New Roman" w:hAnsi="Times New Roman" w:cs="Times New Roman"/>
          <w:color w:val="000000"/>
          <w:sz w:val="24"/>
          <w:szCs w:val="24"/>
        </w:rPr>
        <w:t xml:space="preserve">Recebido em: 27/05/2022 </w:t>
      </w:r>
    </w:p>
    <w:p w14:paraId="3296D474" w14:textId="0A60CAB1" w:rsidR="009C63B1" w:rsidRDefault="004B770E" w:rsidP="004B770E">
      <w:pPr>
        <w:pBdr>
          <w:top w:val="nil"/>
          <w:left w:val="nil"/>
          <w:bottom w:val="nil"/>
          <w:right w:val="nil"/>
          <w:between w:val="nil"/>
        </w:pBdr>
        <w:jc w:val="right"/>
        <w:rPr>
          <w:rFonts w:ascii="Times New Roman" w:eastAsia="Times New Roman" w:hAnsi="Times New Roman" w:cs="Times New Roman"/>
          <w:color w:val="000000"/>
          <w:sz w:val="24"/>
          <w:szCs w:val="24"/>
        </w:rPr>
      </w:pPr>
      <w:r w:rsidRPr="004B770E">
        <w:rPr>
          <w:rFonts w:ascii="Times New Roman" w:eastAsia="Times New Roman" w:hAnsi="Times New Roman" w:cs="Times New Roman"/>
          <w:color w:val="000000"/>
          <w:sz w:val="24"/>
          <w:szCs w:val="24"/>
        </w:rPr>
        <w:t>Aprovado em: 14/02/2023</w:t>
      </w:r>
    </w:p>
    <w:sectPr w:rsidR="009C63B1" w:rsidSect="004D0ED6">
      <w:headerReference w:type="even" r:id="rId19"/>
      <w:headerReference w:type="default" r:id="rId20"/>
      <w:pgSz w:w="11906" w:h="16838"/>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A6DB" w14:textId="77777777" w:rsidR="00234542" w:rsidRDefault="00234542">
      <w:r>
        <w:separator/>
      </w:r>
    </w:p>
  </w:endnote>
  <w:endnote w:type="continuationSeparator" w:id="0">
    <w:p w14:paraId="25E6E6B1" w14:textId="77777777" w:rsidR="00234542" w:rsidRDefault="0023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mbria"/>
    <w:charset w:val="00"/>
    <w:family w:val="roman"/>
    <w:pitch w:val="default"/>
  </w:font>
  <w:font w:name="Antic Didone">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C554" w14:textId="47509368" w:rsidR="007D3F6A" w:rsidRPr="004B770E" w:rsidRDefault="004B770E" w:rsidP="004B770E">
    <w:pPr>
      <w:pStyle w:val="Rodap"/>
      <w:jc w:val="center"/>
    </w:pPr>
    <w:r w:rsidRPr="004B770E">
      <w:rPr>
        <w:rFonts w:ascii="Liberation Serif" w:eastAsia="Liberation Serif" w:hAnsi="Liberation Serif" w:cs="Liberation Serif"/>
        <w:color w:val="000000"/>
        <w:sz w:val="16"/>
        <w:szCs w:val="16"/>
      </w:rPr>
      <w:t xml:space="preserve">Educação em Foco, ano 26, n. 48 – </w:t>
    </w:r>
    <w:proofErr w:type="gramStart"/>
    <w:r w:rsidRPr="004B770E">
      <w:rPr>
        <w:rFonts w:ascii="Liberation Serif" w:eastAsia="Liberation Serif" w:hAnsi="Liberation Serif" w:cs="Liberation Serif"/>
        <w:color w:val="000000"/>
        <w:sz w:val="16"/>
        <w:szCs w:val="16"/>
      </w:rPr>
      <w:t>Janeiro</w:t>
    </w:r>
    <w:proofErr w:type="gramEnd"/>
    <w:r w:rsidRPr="004B770E">
      <w:rPr>
        <w:rFonts w:ascii="Liberation Serif" w:eastAsia="Liberation Serif" w:hAnsi="Liberation Serif" w:cs="Liberation Serif"/>
        <w:color w:val="000000"/>
        <w:sz w:val="16"/>
        <w:szCs w:val="16"/>
      </w:rPr>
      <w:t>/Abril 2023 | e-ISSN-2317-0093 | Belo Horizonte (MG)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26DF" w14:textId="6C2B7A08" w:rsidR="007D3F6A" w:rsidRPr="004B770E" w:rsidRDefault="004B770E" w:rsidP="004B770E">
    <w:pPr>
      <w:pStyle w:val="Rodap"/>
      <w:jc w:val="center"/>
    </w:pPr>
    <w:r w:rsidRPr="004B770E">
      <w:rPr>
        <w:rFonts w:ascii="Liberation Serif" w:eastAsia="Liberation Serif" w:hAnsi="Liberation Serif" w:cs="Liberation Serif"/>
        <w:color w:val="000000"/>
        <w:sz w:val="16"/>
        <w:szCs w:val="16"/>
      </w:rPr>
      <w:t xml:space="preserve">Educação em Foco, ano 26, n. 48 – </w:t>
    </w:r>
    <w:proofErr w:type="gramStart"/>
    <w:r w:rsidRPr="004B770E">
      <w:rPr>
        <w:rFonts w:ascii="Liberation Serif" w:eastAsia="Liberation Serif" w:hAnsi="Liberation Serif" w:cs="Liberation Serif"/>
        <w:color w:val="000000"/>
        <w:sz w:val="16"/>
        <w:szCs w:val="16"/>
      </w:rPr>
      <w:t>Janeiro</w:t>
    </w:r>
    <w:proofErr w:type="gramEnd"/>
    <w:r w:rsidRPr="004B770E">
      <w:rPr>
        <w:rFonts w:ascii="Liberation Serif" w:eastAsia="Liberation Serif" w:hAnsi="Liberation Serif" w:cs="Liberation Serif"/>
        <w:color w:val="000000"/>
        <w:sz w:val="16"/>
        <w:szCs w:val="16"/>
      </w:rPr>
      <w:t>/Abril 2023 | e-ISSN-2317-0093 | Belo Horizonte (MG)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D8B6" w14:textId="77777777" w:rsidR="00234542" w:rsidRDefault="00234542">
      <w:r>
        <w:separator/>
      </w:r>
    </w:p>
  </w:footnote>
  <w:footnote w:type="continuationSeparator" w:id="0">
    <w:p w14:paraId="6EF787FF" w14:textId="77777777" w:rsidR="00234542" w:rsidRDefault="00234542">
      <w:r>
        <w:continuationSeparator/>
      </w:r>
    </w:p>
  </w:footnote>
  <w:footnote w:id="1">
    <w:p w14:paraId="4B00999C" w14:textId="4765B818" w:rsidR="007D3F6A" w:rsidRDefault="007D3F6A">
      <w:pPr>
        <w:jc w:val="both"/>
        <w:rPr>
          <w:rFonts w:ascii="Times New Roman" w:eastAsia="Times New Roman" w:hAnsi="Times New Roman" w:cs="Times New Roman"/>
        </w:rPr>
      </w:pPr>
      <w:r w:rsidRPr="00975784">
        <w:rPr>
          <w:rFonts w:ascii="Liberation Serif" w:hAnsi="Liberation Serif"/>
          <w:vertAlign w:val="superscript"/>
        </w:rPr>
        <w:footnoteRef/>
      </w:r>
      <w:r w:rsidRPr="00B17F24">
        <w:rPr>
          <w:rFonts w:ascii="Liberation Serif" w:eastAsia="Times New Roman" w:hAnsi="Liberation Serif" w:cs="Times New Roman"/>
          <w:lang w:val="en-US"/>
        </w:rPr>
        <w:t xml:space="preserve"> </w:t>
      </w:r>
      <w:r w:rsidR="00B17F24" w:rsidRPr="00B17F24">
        <w:rPr>
          <w:rFonts w:ascii="Liberation Serif" w:eastAsia="Times New Roman" w:hAnsi="Liberation Serif" w:cs="Times New Roman"/>
          <w:lang w:val="en-US"/>
        </w:rPr>
        <w:t>PhD in Education from the Pontifical Catholic University of Rio de Janeiro (PUC-Rio) and postdoctoral researcher in Education at the Faculty of Psychology and Education Sciences of the University of Porto. Full Professor at the Faculty of Education at the Federal University of Juiz de Fora and a member of the Graduate Program in Education at the Federal University of Juiz de Fora</w:t>
      </w:r>
      <w:r w:rsidR="00D10DC0" w:rsidRPr="00B17F24">
        <w:rPr>
          <w:rFonts w:ascii="Liberation Serif" w:eastAsia="Times New Roman" w:hAnsi="Liberation Serif" w:cs="Times New Roman"/>
          <w:lang w:val="en-US"/>
        </w:rPr>
        <w:t xml:space="preserve">. </w:t>
      </w:r>
      <w:r w:rsidR="00D10DC0">
        <w:rPr>
          <w:rFonts w:ascii="Liberation Serif" w:eastAsia="Times New Roman" w:hAnsi="Liberation Serif" w:cs="Times New Roman"/>
        </w:rPr>
        <w:t>ORCID 0000-0002-380-7956. rubensluizrodrigues65@gmail.com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7F4E" w14:textId="77777777" w:rsidR="007D3F6A" w:rsidRDefault="007D3F6A">
    <w:p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noProof/>
      </w:rPr>
      <w:drawing>
        <wp:inline distT="0" distB="0" distL="0" distR="0" wp14:anchorId="1C8A0F98" wp14:editId="7784F6C2">
          <wp:extent cx="1617345" cy="7810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7345" cy="7810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AC1" w14:textId="714B3248" w:rsidR="007D3F6A" w:rsidRDefault="007D3F6A">
    <w:pPr>
      <w:pBdr>
        <w:top w:val="nil"/>
        <w:left w:val="nil"/>
        <w:bottom w:val="nil"/>
        <w:right w:val="nil"/>
        <w:between w:val="nil"/>
      </w:pBdr>
      <w:tabs>
        <w:tab w:val="left" w:pos="2041"/>
      </w:tabs>
      <w:rPr>
        <w:rFonts w:ascii="Times New Roman" w:eastAsia="Times New Roman" w:hAnsi="Times New Roman" w:cs="Times New Roman"/>
      </w:rPr>
    </w:pPr>
    <w:r>
      <w:rPr>
        <w:noProof/>
      </w:rPr>
      <w:drawing>
        <wp:inline distT="0" distB="0" distL="0" distR="0" wp14:anchorId="42FB67B0" wp14:editId="41C5A47A">
          <wp:extent cx="1617345" cy="7810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7345" cy="781050"/>
                  </a:xfrm>
                  <a:prstGeom prst="rect">
                    <a:avLst/>
                  </a:prstGeom>
                  <a:ln/>
                </pic:spPr>
              </pic:pic>
            </a:graphicData>
          </a:graphic>
        </wp:inline>
      </w:drawing>
    </w:r>
  </w:p>
  <w:p w14:paraId="6CD4E213" w14:textId="4766E6B5" w:rsidR="007D3F6A" w:rsidRDefault="007D3F6A" w:rsidP="00287726">
    <w:pPr>
      <w:pBdr>
        <w:top w:val="nil"/>
        <w:left w:val="nil"/>
        <w:bottom w:val="nil"/>
        <w:right w:val="nil"/>
        <w:between w:val="nil"/>
      </w:pBdr>
      <w:tabs>
        <w:tab w:val="left" w:pos="2041"/>
      </w:tabs>
      <w:jc w:val="right"/>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9D0" w14:textId="1400431E" w:rsidR="007D3F6A" w:rsidRDefault="007D3F6A">
    <w:pPr>
      <w:pStyle w:val="Cabealho"/>
    </w:pPr>
    <w:r>
      <w:rPr>
        <w:noProof/>
      </w:rPr>
      <w:drawing>
        <wp:inline distT="0" distB="0" distL="0" distR="0" wp14:anchorId="691BA180" wp14:editId="640F8FE7">
          <wp:extent cx="1617345" cy="7810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7345" cy="78105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285B" w14:textId="2259D2E2" w:rsidR="007D3F6A" w:rsidRDefault="007D3F6A" w:rsidP="00287726">
    <w:p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noProof/>
      </w:rPr>
      <w:drawing>
        <wp:inline distT="0" distB="0" distL="0" distR="0" wp14:anchorId="007503EE" wp14:editId="24245EE9">
          <wp:extent cx="1617345" cy="781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7345" cy="781050"/>
                  </a:xfrm>
                  <a:prstGeom prst="rect">
                    <a:avLst/>
                  </a:prstGeom>
                  <a:ln/>
                </pic:spPr>
              </pic:pic>
            </a:graphicData>
          </a:graphic>
        </wp:inline>
      </w:drawing>
    </w:r>
  </w:p>
  <w:p w14:paraId="1D5FE376" w14:textId="2DA9A19F" w:rsidR="007D3F6A" w:rsidRPr="00287726" w:rsidRDefault="004B770E" w:rsidP="004B770E">
    <w:pPr>
      <w:pBdr>
        <w:top w:val="nil"/>
        <w:left w:val="nil"/>
        <w:bottom w:val="nil"/>
        <w:right w:val="nil"/>
        <w:between w:val="nil"/>
      </w:pBdr>
      <w:jc w:val="right"/>
      <w:rPr>
        <w:rFonts w:ascii="Liberation Serif" w:eastAsia="Times New Roman" w:hAnsi="Liberation Serif" w:cs="Times New Roman"/>
        <w:sz w:val="16"/>
        <w:szCs w:val="16"/>
      </w:rPr>
    </w:pPr>
    <w:r w:rsidRPr="004B770E">
      <w:rPr>
        <w:rFonts w:ascii="Liberation Serif" w:eastAsia="Times New Roman" w:hAnsi="Liberation Serif" w:cs="Times New Roman"/>
        <w:sz w:val="16"/>
        <w:szCs w:val="16"/>
      </w:rPr>
      <w:t>Escolarização de jovens e adultos: uma análise das políticas educativas brasileiras (2007-2015)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D199" w14:textId="77777777" w:rsidR="007D3F6A" w:rsidRDefault="007D3F6A">
    <w:pPr>
      <w:pBdr>
        <w:top w:val="nil"/>
        <w:left w:val="nil"/>
        <w:bottom w:val="nil"/>
        <w:right w:val="nil"/>
        <w:between w:val="nil"/>
      </w:pBdr>
      <w:tabs>
        <w:tab w:val="left" w:pos="2041"/>
      </w:tabs>
      <w:rPr>
        <w:rFonts w:ascii="Times New Roman" w:eastAsia="Times New Roman" w:hAnsi="Times New Roman" w:cs="Times New Roman"/>
      </w:rPr>
    </w:pPr>
    <w:r>
      <w:rPr>
        <w:noProof/>
      </w:rPr>
      <w:drawing>
        <wp:inline distT="0" distB="0" distL="0" distR="0" wp14:anchorId="7A834C04" wp14:editId="1A0831B0">
          <wp:extent cx="1617345" cy="7810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7345" cy="781050"/>
                  </a:xfrm>
                  <a:prstGeom prst="rect">
                    <a:avLst/>
                  </a:prstGeom>
                  <a:ln/>
                </pic:spPr>
              </pic:pic>
            </a:graphicData>
          </a:graphic>
        </wp:inline>
      </w:drawing>
    </w:r>
  </w:p>
  <w:p w14:paraId="1287B04E" w14:textId="0149CDE0" w:rsidR="007D3F6A" w:rsidRDefault="004B770E" w:rsidP="004B770E">
    <w:pPr>
      <w:pBdr>
        <w:top w:val="nil"/>
        <w:left w:val="nil"/>
        <w:bottom w:val="nil"/>
        <w:right w:val="nil"/>
        <w:between w:val="nil"/>
      </w:pBdr>
      <w:tabs>
        <w:tab w:val="left" w:pos="2041"/>
      </w:tabs>
      <w:jc w:val="right"/>
      <w:rPr>
        <w:rFonts w:ascii="Times New Roman" w:eastAsia="Times New Roman" w:hAnsi="Times New Roman" w:cs="Times New Roman"/>
      </w:rPr>
    </w:pPr>
    <w:r w:rsidRPr="004B770E">
      <w:rPr>
        <w:rFonts w:ascii="Times New Roman" w:eastAsia="Times New Roman" w:hAnsi="Times New Roman" w:cs="Times New Roman"/>
      </w:rPr>
      <w:t>RODRIGUES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08E"/>
    <w:multiLevelType w:val="hybridMultilevel"/>
    <w:tmpl w:val="5A42F706"/>
    <w:lvl w:ilvl="0" w:tplc="2E10810C">
      <w:start w:val="1"/>
      <w:numFmt w:val="upperRoman"/>
      <w:lvlText w:val="%1-"/>
      <w:lvlJc w:val="left"/>
      <w:pPr>
        <w:ind w:left="1429" w:hanging="720"/>
      </w:pPr>
      <w:rPr>
        <w:rFonts w:ascii="Liberation Serif" w:hAnsi="Liberation Serif"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94438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B1"/>
    <w:rsid w:val="00012FC8"/>
    <w:rsid w:val="00025D4C"/>
    <w:rsid w:val="000A6321"/>
    <w:rsid w:val="000B6ED7"/>
    <w:rsid w:val="000C6850"/>
    <w:rsid w:val="000D4DF7"/>
    <w:rsid w:val="000D5C0C"/>
    <w:rsid w:val="001066F6"/>
    <w:rsid w:val="0013504C"/>
    <w:rsid w:val="001974B6"/>
    <w:rsid w:val="001A0570"/>
    <w:rsid w:val="001A3AD6"/>
    <w:rsid w:val="001A5C17"/>
    <w:rsid w:val="001B6F65"/>
    <w:rsid w:val="001C0CB6"/>
    <w:rsid w:val="001E1162"/>
    <w:rsid w:val="001F0E73"/>
    <w:rsid w:val="00234542"/>
    <w:rsid w:val="00254356"/>
    <w:rsid w:val="002700DD"/>
    <w:rsid w:val="00287726"/>
    <w:rsid w:val="002C5CAB"/>
    <w:rsid w:val="003015F3"/>
    <w:rsid w:val="003128E1"/>
    <w:rsid w:val="003146C6"/>
    <w:rsid w:val="00364745"/>
    <w:rsid w:val="003E1E41"/>
    <w:rsid w:val="003E23F0"/>
    <w:rsid w:val="00416F61"/>
    <w:rsid w:val="00434045"/>
    <w:rsid w:val="004401A1"/>
    <w:rsid w:val="00441BF9"/>
    <w:rsid w:val="0045285D"/>
    <w:rsid w:val="00490075"/>
    <w:rsid w:val="00495B5B"/>
    <w:rsid w:val="004B770E"/>
    <w:rsid w:val="004D0ED6"/>
    <w:rsid w:val="00500FC2"/>
    <w:rsid w:val="005D460C"/>
    <w:rsid w:val="005E2F54"/>
    <w:rsid w:val="005F7B1B"/>
    <w:rsid w:val="00654570"/>
    <w:rsid w:val="006C151D"/>
    <w:rsid w:val="006D4C69"/>
    <w:rsid w:val="006D7F9D"/>
    <w:rsid w:val="006E0A1D"/>
    <w:rsid w:val="0071564F"/>
    <w:rsid w:val="00733B0E"/>
    <w:rsid w:val="00767FC1"/>
    <w:rsid w:val="007D3F6A"/>
    <w:rsid w:val="007E6BB6"/>
    <w:rsid w:val="007F04F0"/>
    <w:rsid w:val="00804042"/>
    <w:rsid w:val="008453D6"/>
    <w:rsid w:val="0085658D"/>
    <w:rsid w:val="00871E46"/>
    <w:rsid w:val="008A5C14"/>
    <w:rsid w:val="009109A9"/>
    <w:rsid w:val="009244EF"/>
    <w:rsid w:val="00960636"/>
    <w:rsid w:val="00975784"/>
    <w:rsid w:val="009A0B57"/>
    <w:rsid w:val="009A63E9"/>
    <w:rsid w:val="009A65A5"/>
    <w:rsid w:val="009C090D"/>
    <w:rsid w:val="009C63B1"/>
    <w:rsid w:val="009F7CA5"/>
    <w:rsid w:val="00A02957"/>
    <w:rsid w:val="00A068C6"/>
    <w:rsid w:val="00A07D1F"/>
    <w:rsid w:val="00A1245D"/>
    <w:rsid w:val="00A37CFB"/>
    <w:rsid w:val="00B02FF4"/>
    <w:rsid w:val="00B17F24"/>
    <w:rsid w:val="00B24382"/>
    <w:rsid w:val="00B75EBA"/>
    <w:rsid w:val="00B9214F"/>
    <w:rsid w:val="00BB0FB5"/>
    <w:rsid w:val="00BC218B"/>
    <w:rsid w:val="00BC5879"/>
    <w:rsid w:val="00BF17BD"/>
    <w:rsid w:val="00BF4590"/>
    <w:rsid w:val="00C249A4"/>
    <w:rsid w:val="00C30B11"/>
    <w:rsid w:val="00C3229B"/>
    <w:rsid w:val="00C61604"/>
    <w:rsid w:val="00C84EC7"/>
    <w:rsid w:val="00D023AF"/>
    <w:rsid w:val="00D10DC0"/>
    <w:rsid w:val="00D37CE1"/>
    <w:rsid w:val="00D758D1"/>
    <w:rsid w:val="00D91E1C"/>
    <w:rsid w:val="00D9414C"/>
    <w:rsid w:val="00DB4A04"/>
    <w:rsid w:val="00DB776C"/>
    <w:rsid w:val="00DE7012"/>
    <w:rsid w:val="00E06BA5"/>
    <w:rsid w:val="00E24F8F"/>
    <w:rsid w:val="00E34943"/>
    <w:rsid w:val="00E634AC"/>
    <w:rsid w:val="00F10B43"/>
    <w:rsid w:val="00F141CF"/>
    <w:rsid w:val="00FC4A23"/>
    <w:rsid w:val="00FE6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6487"/>
  <w15:docId w15:val="{7CC8967E-FB4E-4091-ADD0-C806F647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emestilodepargrafo">
    <w:name w:val="[Sem estilo de parágrafo]"/>
    <w:qFormat/>
    <w:pPr>
      <w:pBdr>
        <w:top w:val="nil"/>
        <w:left w:val="nil"/>
        <w:bottom w:val="nil"/>
        <w:right w:val="nil"/>
        <w:between w:val="nil"/>
      </w:pBdr>
      <w:spacing w:line="288" w:lineRule="auto"/>
    </w:pPr>
    <w:rPr>
      <w:rFonts w:ascii="MinionPro-Regular" w:eastAsia="MinionPro-Regular" w:hAnsi="MinionPro-Regular" w:cs="MinionPro-Regular"/>
      <w:kern w:val="1"/>
      <w:sz w:val="24"/>
      <w:szCs w:val="24"/>
    </w:rPr>
  </w:style>
  <w:style w:type="paragraph" w:customStyle="1" w:styleId="Pargrafobsico">
    <w:name w:val="[Parágrafo básico]"/>
    <w:basedOn w:val="Semestilodepargrafo"/>
    <w:qFormat/>
  </w:style>
  <w:style w:type="paragraph" w:styleId="Rodap">
    <w:name w:val="footer"/>
    <w:basedOn w:val="Normal"/>
    <w:qFormat/>
    <w:pPr>
      <w:tabs>
        <w:tab w:val="center" w:pos="3685"/>
        <w:tab w:val="right" w:pos="7370"/>
      </w:tabs>
    </w:pPr>
  </w:style>
  <w:style w:type="character" w:styleId="Hyperlink">
    <w:name w:val="Hyperlink"/>
    <w:rPr>
      <w:color w:val="0000FF"/>
      <w:u w:val="single"/>
    </w:rPr>
  </w:style>
  <w:style w:type="paragraph" w:styleId="Cabealho">
    <w:name w:val="header"/>
    <w:basedOn w:val="Normal"/>
    <w:link w:val="CabealhoChar"/>
    <w:uiPriority w:val="99"/>
    <w:rsid w:val="006C73F6"/>
    <w:pPr>
      <w:tabs>
        <w:tab w:val="center" w:pos="4252"/>
        <w:tab w:val="right" w:pos="8504"/>
      </w:tabs>
    </w:pPr>
  </w:style>
  <w:style w:type="character" w:customStyle="1" w:styleId="CabealhoChar">
    <w:name w:val="Cabeçalho Char"/>
    <w:basedOn w:val="Fontepargpadro"/>
    <w:link w:val="Cabealho"/>
    <w:uiPriority w:val="99"/>
    <w:rsid w:val="006C73F6"/>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0C685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C6850"/>
    <w:pPr>
      <w:autoSpaceDE w:val="0"/>
      <w:autoSpaceDN w:val="0"/>
      <w:adjustRightInd w:val="0"/>
    </w:pPr>
    <w:rPr>
      <w:rFonts w:eastAsiaTheme="minorHAnsi"/>
      <w:color w:val="000000"/>
      <w:sz w:val="24"/>
      <w:szCs w:val="24"/>
      <w:lang w:eastAsia="en-US"/>
    </w:rPr>
  </w:style>
  <w:style w:type="character" w:customStyle="1" w:styleId="MenoPendente1">
    <w:name w:val="Menção Pendente1"/>
    <w:basedOn w:val="Fontepargpadro"/>
    <w:uiPriority w:val="99"/>
    <w:semiHidden/>
    <w:unhideWhenUsed/>
    <w:rsid w:val="00C30B11"/>
    <w:rPr>
      <w:color w:val="605E5C"/>
      <w:shd w:val="clear" w:color="auto" w:fill="E1DFDD"/>
    </w:rPr>
  </w:style>
  <w:style w:type="paragraph" w:styleId="Textodenotaderodap">
    <w:name w:val="footnote text"/>
    <w:basedOn w:val="Normal"/>
    <w:link w:val="TextodenotaderodapChar"/>
    <w:uiPriority w:val="99"/>
    <w:semiHidden/>
    <w:unhideWhenUsed/>
    <w:rsid w:val="001C0CB6"/>
  </w:style>
  <w:style w:type="character" w:customStyle="1" w:styleId="TextodenotaderodapChar">
    <w:name w:val="Texto de nota de rodapé Char"/>
    <w:basedOn w:val="Fontepargpadro"/>
    <w:link w:val="Textodenotaderodap"/>
    <w:uiPriority w:val="99"/>
    <w:semiHidden/>
    <w:rsid w:val="001C0CB6"/>
  </w:style>
  <w:style w:type="character" w:styleId="Refdenotaderodap">
    <w:name w:val="footnote reference"/>
    <w:basedOn w:val="Fontepargpadro"/>
    <w:uiPriority w:val="99"/>
    <w:semiHidden/>
    <w:unhideWhenUsed/>
    <w:rsid w:val="001C0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946">
      <w:bodyDiv w:val="1"/>
      <w:marLeft w:val="0"/>
      <w:marRight w:val="0"/>
      <w:marTop w:val="0"/>
      <w:marBottom w:val="0"/>
      <w:divBdr>
        <w:top w:val="none" w:sz="0" w:space="0" w:color="auto"/>
        <w:left w:val="none" w:sz="0" w:space="0" w:color="auto"/>
        <w:bottom w:val="none" w:sz="0" w:space="0" w:color="auto"/>
        <w:right w:val="none" w:sz="0" w:space="0" w:color="auto"/>
      </w:divBdr>
    </w:div>
    <w:div w:id="97650367">
      <w:bodyDiv w:val="1"/>
      <w:marLeft w:val="0"/>
      <w:marRight w:val="0"/>
      <w:marTop w:val="0"/>
      <w:marBottom w:val="0"/>
      <w:divBdr>
        <w:top w:val="none" w:sz="0" w:space="0" w:color="auto"/>
        <w:left w:val="none" w:sz="0" w:space="0" w:color="auto"/>
        <w:bottom w:val="none" w:sz="0" w:space="0" w:color="auto"/>
        <w:right w:val="none" w:sz="0" w:space="0" w:color="auto"/>
      </w:divBdr>
    </w:div>
    <w:div w:id="193619847">
      <w:bodyDiv w:val="1"/>
      <w:marLeft w:val="0"/>
      <w:marRight w:val="0"/>
      <w:marTop w:val="0"/>
      <w:marBottom w:val="0"/>
      <w:divBdr>
        <w:top w:val="none" w:sz="0" w:space="0" w:color="auto"/>
        <w:left w:val="none" w:sz="0" w:space="0" w:color="auto"/>
        <w:bottom w:val="none" w:sz="0" w:space="0" w:color="auto"/>
        <w:right w:val="none" w:sz="0" w:space="0" w:color="auto"/>
      </w:divBdr>
    </w:div>
    <w:div w:id="278417088">
      <w:bodyDiv w:val="1"/>
      <w:marLeft w:val="0"/>
      <w:marRight w:val="0"/>
      <w:marTop w:val="0"/>
      <w:marBottom w:val="0"/>
      <w:divBdr>
        <w:top w:val="none" w:sz="0" w:space="0" w:color="auto"/>
        <w:left w:val="none" w:sz="0" w:space="0" w:color="auto"/>
        <w:bottom w:val="none" w:sz="0" w:space="0" w:color="auto"/>
        <w:right w:val="none" w:sz="0" w:space="0" w:color="auto"/>
      </w:divBdr>
    </w:div>
    <w:div w:id="435642705">
      <w:bodyDiv w:val="1"/>
      <w:marLeft w:val="0"/>
      <w:marRight w:val="0"/>
      <w:marTop w:val="0"/>
      <w:marBottom w:val="0"/>
      <w:divBdr>
        <w:top w:val="none" w:sz="0" w:space="0" w:color="auto"/>
        <w:left w:val="none" w:sz="0" w:space="0" w:color="auto"/>
        <w:bottom w:val="none" w:sz="0" w:space="0" w:color="auto"/>
        <w:right w:val="none" w:sz="0" w:space="0" w:color="auto"/>
      </w:divBdr>
    </w:div>
    <w:div w:id="614096589">
      <w:bodyDiv w:val="1"/>
      <w:marLeft w:val="0"/>
      <w:marRight w:val="0"/>
      <w:marTop w:val="0"/>
      <w:marBottom w:val="0"/>
      <w:divBdr>
        <w:top w:val="none" w:sz="0" w:space="0" w:color="auto"/>
        <w:left w:val="none" w:sz="0" w:space="0" w:color="auto"/>
        <w:bottom w:val="none" w:sz="0" w:space="0" w:color="auto"/>
        <w:right w:val="none" w:sz="0" w:space="0" w:color="auto"/>
      </w:divBdr>
    </w:div>
    <w:div w:id="735467957">
      <w:bodyDiv w:val="1"/>
      <w:marLeft w:val="0"/>
      <w:marRight w:val="0"/>
      <w:marTop w:val="0"/>
      <w:marBottom w:val="0"/>
      <w:divBdr>
        <w:top w:val="none" w:sz="0" w:space="0" w:color="auto"/>
        <w:left w:val="none" w:sz="0" w:space="0" w:color="auto"/>
        <w:bottom w:val="none" w:sz="0" w:space="0" w:color="auto"/>
        <w:right w:val="none" w:sz="0" w:space="0" w:color="auto"/>
      </w:divBdr>
    </w:div>
    <w:div w:id="796066131">
      <w:bodyDiv w:val="1"/>
      <w:marLeft w:val="0"/>
      <w:marRight w:val="0"/>
      <w:marTop w:val="0"/>
      <w:marBottom w:val="0"/>
      <w:divBdr>
        <w:top w:val="none" w:sz="0" w:space="0" w:color="auto"/>
        <w:left w:val="none" w:sz="0" w:space="0" w:color="auto"/>
        <w:bottom w:val="none" w:sz="0" w:space="0" w:color="auto"/>
        <w:right w:val="none" w:sz="0" w:space="0" w:color="auto"/>
      </w:divBdr>
    </w:div>
    <w:div w:id="823623029">
      <w:bodyDiv w:val="1"/>
      <w:marLeft w:val="0"/>
      <w:marRight w:val="0"/>
      <w:marTop w:val="0"/>
      <w:marBottom w:val="0"/>
      <w:divBdr>
        <w:top w:val="none" w:sz="0" w:space="0" w:color="auto"/>
        <w:left w:val="none" w:sz="0" w:space="0" w:color="auto"/>
        <w:bottom w:val="none" w:sz="0" w:space="0" w:color="auto"/>
        <w:right w:val="none" w:sz="0" w:space="0" w:color="auto"/>
      </w:divBdr>
    </w:div>
    <w:div w:id="827012235">
      <w:bodyDiv w:val="1"/>
      <w:marLeft w:val="0"/>
      <w:marRight w:val="0"/>
      <w:marTop w:val="0"/>
      <w:marBottom w:val="0"/>
      <w:divBdr>
        <w:top w:val="none" w:sz="0" w:space="0" w:color="auto"/>
        <w:left w:val="none" w:sz="0" w:space="0" w:color="auto"/>
        <w:bottom w:val="none" w:sz="0" w:space="0" w:color="auto"/>
        <w:right w:val="none" w:sz="0" w:space="0" w:color="auto"/>
      </w:divBdr>
    </w:div>
    <w:div w:id="977149724">
      <w:bodyDiv w:val="1"/>
      <w:marLeft w:val="0"/>
      <w:marRight w:val="0"/>
      <w:marTop w:val="0"/>
      <w:marBottom w:val="0"/>
      <w:divBdr>
        <w:top w:val="none" w:sz="0" w:space="0" w:color="auto"/>
        <w:left w:val="none" w:sz="0" w:space="0" w:color="auto"/>
        <w:bottom w:val="none" w:sz="0" w:space="0" w:color="auto"/>
        <w:right w:val="none" w:sz="0" w:space="0" w:color="auto"/>
      </w:divBdr>
    </w:div>
    <w:div w:id="1069230415">
      <w:bodyDiv w:val="1"/>
      <w:marLeft w:val="0"/>
      <w:marRight w:val="0"/>
      <w:marTop w:val="0"/>
      <w:marBottom w:val="0"/>
      <w:divBdr>
        <w:top w:val="none" w:sz="0" w:space="0" w:color="auto"/>
        <w:left w:val="none" w:sz="0" w:space="0" w:color="auto"/>
        <w:bottom w:val="none" w:sz="0" w:space="0" w:color="auto"/>
        <w:right w:val="none" w:sz="0" w:space="0" w:color="auto"/>
      </w:divBdr>
    </w:div>
    <w:div w:id="1137802329">
      <w:bodyDiv w:val="1"/>
      <w:marLeft w:val="0"/>
      <w:marRight w:val="0"/>
      <w:marTop w:val="0"/>
      <w:marBottom w:val="0"/>
      <w:divBdr>
        <w:top w:val="none" w:sz="0" w:space="0" w:color="auto"/>
        <w:left w:val="none" w:sz="0" w:space="0" w:color="auto"/>
        <w:bottom w:val="none" w:sz="0" w:space="0" w:color="auto"/>
        <w:right w:val="none" w:sz="0" w:space="0" w:color="auto"/>
      </w:divBdr>
    </w:div>
    <w:div w:id="1139222838">
      <w:bodyDiv w:val="1"/>
      <w:marLeft w:val="0"/>
      <w:marRight w:val="0"/>
      <w:marTop w:val="0"/>
      <w:marBottom w:val="0"/>
      <w:divBdr>
        <w:top w:val="none" w:sz="0" w:space="0" w:color="auto"/>
        <w:left w:val="none" w:sz="0" w:space="0" w:color="auto"/>
        <w:bottom w:val="none" w:sz="0" w:space="0" w:color="auto"/>
        <w:right w:val="none" w:sz="0" w:space="0" w:color="auto"/>
      </w:divBdr>
      <w:divsChild>
        <w:div w:id="1344279695">
          <w:marLeft w:val="0"/>
          <w:marRight w:val="0"/>
          <w:marTop w:val="0"/>
          <w:marBottom w:val="0"/>
          <w:divBdr>
            <w:top w:val="none" w:sz="0" w:space="0" w:color="auto"/>
            <w:left w:val="none" w:sz="0" w:space="0" w:color="auto"/>
            <w:bottom w:val="none" w:sz="0" w:space="0" w:color="auto"/>
            <w:right w:val="none" w:sz="0" w:space="0" w:color="auto"/>
          </w:divBdr>
          <w:divsChild>
            <w:div w:id="254752630">
              <w:marLeft w:val="0"/>
              <w:marRight w:val="0"/>
              <w:marTop w:val="0"/>
              <w:marBottom w:val="0"/>
              <w:divBdr>
                <w:top w:val="none" w:sz="0" w:space="0" w:color="auto"/>
                <w:left w:val="none" w:sz="0" w:space="0" w:color="auto"/>
                <w:bottom w:val="none" w:sz="0" w:space="0" w:color="auto"/>
                <w:right w:val="none" w:sz="0" w:space="0" w:color="auto"/>
              </w:divBdr>
              <w:divsChild>
                <w:div w:id="176894246">
                  <w:marLeft w:val="0"/>
                  <w:marRight w:val="0"/>
                  <w:marTop w:val="0"/>
                  <w:marBottom w:val="0"/>
                  <w:divBdr>
                    <w:top w:val="none" w:sz="0" w:space="0" w:color="auto"/>
                    <w:left w:val="none" w:sz="0" w:space="0" w:color="auto"/>
                    <w:bottom w:val="none" w:sz="0" w:space="0" w:color="auto"/>
                    <w:right w:val="none" w:sz="0" w:space="0" w:color="auto"/>
                  </w:divBdr>
                  <w:divsChild>
                    <w:div w:id="10823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16983">
      <w:bodyDiv w:val="1"/>
      <w:marLeft w:val="0"/>
      <w:marRight w:val="0"/>
      <w:marTop w:val="0"/>
      <w:marBottom w:val="0"/>
      <w:divBdr>
        <w:top w:val="none" w:sz="0" w:space="0" w:color="auto"/>
        <w:left w:val="none" w:sz="0" w:space="0" w:color="auto"/>
        <w:bottom w:val="none" w:sz="0" w:space="0" w:color="auto"/>
        <w:right w:val="none" w:sz="0" w:space="0" w:color="auto"/>
      </w:divBdr>
    </w:div>
    <w:div w:id="1226331484">
      <w:bodyDiv w:val="1"/>
      <w:marLeft w:val="0"/>
      <w:marRight w:val="0"/>
      <w:marTop w:val="0"/>
      <w:marBottom w:val="0"/>
      <w:divBdr>
        <w:top w:val="none" w:sz="0" w:space="0" w:color="auto"/>
        <w:left w:val="none" w:sz="0" w:space="0" w:color="auto"/>
        <w:bottom w:val="none" w:sz="0" w:space="0" w:color="auto"/>
        <w:right w:val="none" w:sz="0" w:space="0" w:color="auto"/>
      </w:divBdr>
    </w:div>
    <w:div w:id="1255896810">
      <w:bodyDiv w:val="1"/>
      <w:marLeft w:val="0"/>
      <w:marRight w:val="0"/>
      <w:marTop w:val="0"/>
      <w:marBottom w:val="0"/>
      <w:divBdr>
        <w:top w:val="none" w:sz="0" w:space="0" w:color="auto"/>
        <w:left w:val="none" w:sz="0" w:space="0" w:color="auto"/>
        <w:bottom w:val="none" w:sz="0" w:space="0" w:color="auto"/>
        <w:right w:val="none" w:sz="0" w:space="0" w:color="auto"/>
      </w:divBdr>
    </w:div>
    <w:div w:id="1273971284">
      <w:bodyDiv w:val="1"/>
      <w:marLeft w:val="0"/>
      <w:marRight w:val="0"/>
      <w:marTop w:val="0"/>
      <w:marBottom w:val="0"/>
      <w:divBdr>
        <w:top w:val="none" w:sz="0" w:space="0" w:color="auto"/>
        <w:left w:val="none" w:sz="0" w:space="0" w:color="auto"/>
        <w:bottom w:val="none" w:sz="0" w:space="0" w:color="auto"/>
        <w:right w:val="none" w:sz="0" w:space="0" w:color="auto"/>
      </w:divBdr>
    </w:div>
    <w:div w:id="1459909709">
      <w:bodyDiv w:val="1"/>
      <w:marLeft w:val="0"/>
      <w:marRight w:val="0"/>
      <w:marTop w:val="0"/>
      <w:marBottom w:val="0"/>
      <w:divBdr>
        <w:top w:val="none" w:sz="0" w:space="0" w:color="auto"/>
        <w:left w:val="none" w:sz="0" w:space="0" w:color="auto"/>
        <w:bottom w:val="none" w:sz="0" w:space="0" w:color="auto"/>
        <w:right w:val="none" w:sz="0" w:space="0" w:color="auto"/>
      </w:divBdr>
    </w:div>
    <w:div w:id="1558782719">
      <w:bodyDiv w:val="1"/>
      <w:marLeft w:val="0"/>
      <w:marRight w:val="0"/>
      <w:marTop w:val="0"/>
      <w:marBottom w:val="0"/>
      <w:divBdr>
        <w:top w:val="none" w:sz="0" w:space="0" w:color="auto"/>
        <w:left w:val="none" w:sz="0" w:space="0" w:color="auto"/>
        <w:bottom w:val="none" w:sz="0" w:space="0" w:color="auto"/>
        <w:right w:val="none" w:sz="0" w:space="0" w:color="auto"/>
      </w:divBdr>
    </w:div>
    <w:div w:id="1690373659">
      <w:bodyDiv w:val="1"/>
      <w:marLeft w:val="0"/>
      <w:marRight w:val="0"/>
      <w:marTop w:val="0"/>
      <w:marBottom w:val="0"/>
      <w:divBdr>
        <w:top w:val="none" w:sz="0" w:space="0" w:color="auto"/>
        <w:left w:val="none" w:sz="0" w:space="0" w:color="auto"/>
        <w:bottom w:val="none" w:sz="0" w:space="0" w:color="auto"/>
        <w:right w:val="none" w:sz="0" w:space="0" w:color="auto"/>
      </w:divBdr>
    </w:div>
    <w:div w:id="1897618239">
      <w:bodyDiv w:val="1"/>
      <w:marLeft w:val="0"/>
      <w:marRight w:val="0"/>
      <w:marTop w:val="0"/>
      <w:marBottom w:val="0"/>
      <w:divBdr>
        <w:top w:val="none" w:sz="0" w:space="0" w:color="auto"/>
        <w:left w:val="none" w:sz="0" w:space="0" w:color="auto"/>
        <w:bottom w:val="none" w:sz="0" w:space="0" w:color="auto"/>
        <w:right w:val="none" w:sz="0" w:space="0" w:color="auto"/>
      </w:divBdr>
    </w:div>
    <w:div w:id="1967732334">
      <w:bodyDiv w:val="1"/>
      <w:marLeft w:val="0"/>
      <w:marRight w:val="0"/>
      <w:marTop w:val="0"/>
      <w:marBottom w:val="0"/>
      <w:divBdr>
        <w:top w:val="none" w:sz="0" w:space="0" w:color="auto"/>
        <w:left w:val="none" w:sz="0" w:space="0" w:color="auto"/>
        <w:bottom w:val="none" w:sz="0" w:space="0" w:color="auto"/>
        <w:right w:val="none" w:sz="0" w:space="0" w:color="auto"/>
      </w:divBdr>
    </w:div>
    <w:div w:id="2027320652">
      <w:bodyDiv w:val="1"/>
      <w:marLeft w:val="0"/>
      <w:marRight w:val="0"/>
      <w:marTop w:val="0"/>
      <w:marBottom w:val="0"/>
      <w:divBdr>
        <w:top w:val="none" w:sz="0" w:space="0" w:color="auto"/>
        <w:left w:val="none" w:sz="0" w:space="0" w:color="auto"/>
        <w:bottom w:val="none" w:sz="0" w:space="0" w:color="auto"/>
        <w:right w:val="none" w:sz="0" w:space="0" w:color="auto"/>
      </w:divBdr>
    </w:div>
    <w:div w:id="2034916425">
      <w:bodyDiv w:val="1"/>
      <w:marLeft w:val="0"/>
      <w:marRight w:val="0"/>
      <w:marTop w:val="0"/>
      <w:marBottom w:val="0"/>
      <w:divBdr>
        <w:top w:val="none" w:sz="0" w:space="0" w:color="auto"/>
        <w:left w:val="none" w:sz="0" w:space="0" w:color="auto"/>
        <w:bottom w:val="none" w:sz="0" w:space="0" w:color="auto"/>
        <w:right w:val="none" w:sz="0" w:space="0" w:color="auto"/>
      </w:divBdr>
    </w:div>
    <w:div w:id="2080790718">
      <w:bodyDiv w:val="1"/>
      <w:marLeft w:val="0"/>
      <w:marRight w:val="0"/>
      <w:marTop w:val="0"/>
      <w:marBottom w:val="0"/>
      <w:divBdr>
        <w:top w:val="none" w:sz="0" w:space="0" w:color="auto"/>
        <w:left w:val="none" w:sz="0" w:space="0" w:color="auto"/>
        <w:bottom w:val="none" w:sz="0" w:space="0" w:color="auto"/>
        <w:right w:val="none" w:sz="0" w:space="0" w:color="auto"/>
      </w:divBdr>
    </w:div>
    <w:div w:id="211493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br/inep/pt-br/acesso-a-informacao/dados-abertos/sinopses-estatisticas/educacao-basica" TargetMode="External"/><Relationship Id="rId2" Type="http://schemas.openxmlformats.org/officeDocument/2006/relationships/customXml" Target="../customXml/item2.xml"/><Relationship Id="rId16" Type="http://schemas.openxmlformats.org/officeDocument/2006/relationships/hyperlink" Target="https://www.gov.br/inep/pt-br/acesso-a-informacao/dados-abertos/sinopses-estatisticas/educacao-basic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emflores.org/2017/07/30/o-capitalismo-encontrou-limites-intransponiveis-francois-chesnai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rtal.mec.gov.br/setec/%20arquivos/pdf2/proeja_medio.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5uVuEMFdhjpeDUXviTThVfXdyVg==">AMUW2mUGeFI4jy3p0WNnm7Xm/GaoJHJ5DpvENtfhM7M91NuXy6VpJHRsbde0aSCJyJ9wFjQHDbTvSwMFFCOwVR3j9Nolrkcco91+jT0DiVxKKhVxaMnSmIs=</go:docsCustomData>
</go:gDocsCustomXmlDataStorage>
</file>

<file path=customXml/itemProps1.xml><?xml version="1.0" encoding="utf-8"?>
<ds:datastoreItem xmlns:ds="http://schemas.openxmlformats.org/officeDocument/2006/customXml" ds:itemID="{F8DBC228-A837-4C37-A76A-D3562511BC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9175</Words>
  <Characters>49549</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juliana branco</cp:lastModifiedBy>
  <cp:revision>4</cp:revision>
  <cp:lastPrinted>2024-12-29T11:00:00Z</cp:lastPrinted>
  <dcterms:created xsi:type="dcterms:W3CDTF">2024-12-29T10:57:00Z</dcterms:created>
  <dcterms:modified xsi:type="dcterms:W3CDTF">2024-12-29T11:00:00Z</dcterms:modified>
</cp:coreProperties>
</file>